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DF7CA" w14:textId="77777777" w:rsidR="006313C2" w:rsidRPr="00782EC9" w:rsidRDefault="006313C2" w:rsidP="006313C2">
      <w:pPr>
        <w:jc w:val="center"/>
        <w:rPr>
          <w:b/>
        </w:rPr>
      </w:pPr>
      <w:r w:rsidRPr="00782EC9">
        <w:rPr>
          <w:b/>
        </w:rPr>
        <w:t>UNITED STATES DISTRICT COURT</w:t>
      </w:r>
    </w:p>
    <w:p w14:paraId="6727CD55" w14:textId="77777777" w:rsidR="006313C2" w:rsidRPr="00782EC9" w:rsidRDefault="006313C2" w:rsidP="006313C2">
      <w:pPr>
        <w:jc w:val="center"/>
        <w:rPr>
          <w:b/>
        </w:rPr>
      </w:pPr>
      <w:r w:rsidRPr="00782EC9">
        <w:rPr>
          <w:b/>
        </w:rPr>
        <w:t>EASTERN DISTRICT OF MICHIGAN</w:t>
      </w:r>
    </w:p>
    <w:p w14:paraId="7CFD249F" w14:textId="77777777" w:rsidR="006313C2" w:rsidRPr="00782EC9" w:rsidRDefault="006313C2" w:rsidP="006313C2">
      <w:pPr>
        <w:jc w:val="center"/>
        <w:rPr>
          <w:b/>
        </w:rPr>
      </w:pPr>
      <w:r w:rsidRPr="00782EC9">
        <w:rPr>
          <w:b/>
        </w:rPr>
        <w:t>SOUTHERN DIVISION</w:t>
      </w:r>
    </w:p>
    <w:p w14:paraId="1672D370" w14:textId="77777777" w:rsidR="006313C2" w:rsidRDefault="006313C2" w:rsidP="006313C2">
      <w:pPr>
        <w:jc w:val="center"/>
      </w:pPr>
    </w:p>
    <w:p w14:paraId="4E2623E9" w14:textId="77777777" w:rsidR="006313C2" w:rsidRDefault="006313C2" w:rsidP="006313C2">
      <w:r>
        <w:t>PARTY 123,</w:t>
      </w:r>
    </w:p>
    <w:p w14:paraId="283C92A3" w14:textId="77777777" w:rsidR="006313C2" w:rsidRDefault="006313C2" w:rsidP="006313C2"/>
    <w:p w14:paraId="36D24DC2" w14:textId="77777777" w:rsidR="006313C2" w:rsidRDefault="006313C2" w:rsidP="006313C2">
      <w:r>
        <w:tab/>
        <w:t>Plaintiff,</w:t>
      </w:r>
      <w:r>
        <w:tab/>
      </w:r>
      <w:r>
        <w:tab/>
      </w:r>
      <w:r>
        <w:tab/>
      </w:r>
      <w:r>
        <w:tab/>
      </w:r>
      <w:r>
        <w:tab/>
      </w:r>
      <w:r>
        <w:tab/>
        <w:t>Case No.:  _____________</w:t>
      </w:r>
    </w:p>
    <w:p w14:paraId="3CFDDD73" w14:textId="77777777" w:rsidR="006313C2" w:rsidRDefault="006313C2" w:rsidP="006313C2"/>
    <w:p w14:paraId="722553AD" w14:textId="77777777" w:rsidR="006313C2" w:rsidRDefault="006313C2" w:rsidP="006313C2">
      <w:r>
        <w:tab/>
        <w:t>vs.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Honorable </w:t>
      </w:r>
      <w:r w:rsidR="005904B0">
        <w:t>Terrence G. Berg</w:t>
      </w:r>
    </w:p>
    <w:p w14:paraId="1D07F7F4" w14:textId="77777777" w:rsidR="006313C2" w:rsidRDefault="006313C2" w:rsidP="006313C2">
      <w:r>
        <w:tab/>
      </w:r>
    </w:p>
    <w:p w14:paraId="55C018E4" w14:textId="77777777" w:rsidR="006313C2" w:rsidRDefault="006313C2" w:rsidP="006313C2">
      <w:r>
        <w:t>PARTY XYZ,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Magistrate Judge _________</w:t>
      </w:r>
    </w:p>
    <w:p w14:paraId="4587C715" w14:textId="77777777" w:rsidR="006313C2" w:rsidRDefault="006313C2" w:rsidP="006313C2">
      <w:r>
        <w:t xml:space="preserve"> </w:t>
      </w:r>
    </w:p>
    <w:p w14:paraId="04ED4BD2" w14:textId="77777777" w:rsidR="006313C2" w:rsidRDefault="006313C2" w:rsidP="006313C2">
      <w:r>
        <w:tab/>
        <w:t>Defendant.</w:t>
      </w:r>
    </w:p>
    <w:p w14:paraId="1E826CF1" w14:textId="77777777" w:rsidR="006313C2" w:rsidRDefault="006313C2" w:rsidP="006313C2">
      <w:pPr>
        <w:jc w:val="both"/>
      </w:pPr>
    </w:p>
    <w:p w14:paraId="0C9A0F21" w14:textId="77777777" w:rsidR="006313C2" w:rsidRDefault="006313C2" w:rsidP="006313C2">
      <w:r>
        <w:t>_______________________________________________________________________</w:t>
      </w:r>
    </w:p>
    <w:p w14:paraId="0D431399" w14:textId="77777777" w:rsidR="006313C2" w:rsidRDefault="006313C2" w:rsidP="006313C2">
      <w:pPr>
        <w:jc w:val="center"/>
        <w:rPr>
          <w:b/>
        </w:rPr>
      </w:pPr>
    </w:p>
    <w:p w14:paraId="6153874F" w14:textId="77777777" w:rsidR="006313C2" w:rsidRDefault="006313C2" w:rsidP="006313C2">
      <w:pPr>
        <w:rPr>
          <w:b/>
        </w:rPr>
      </w:pPr>
    </w:p>
    <w:p w14:paraId="5C7ABA6A" w14:textId="77777777" w:rsidR="00284BFD" w:rsidRDefault="0013286C" w:rsidP="00CA58EE">
      <w:pPr>
        <w:pStyle w:val="Heading1"/>
        <w:numPr>
          <w:ilvl w:val="0"/>
          <w:numId w:val="0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t xml:space="preserve">DEFAULT </w:t>
      </w:r>
      <w:r w:rsidR="00284BFD">
        <w:t>PROTECTIVE ORDER</w:t>
      </w:r>
    </w:p>
    <w:p w14:paraId="6B4E50BE" w14:textId="77777777" w:rsidR="007370A6" w:rsidRDefault="00CA58EE" w:rsidP="007370A6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</w:pPr>
      <w:r>
        <w:tab/>
      </w:r>
      <w:r w:rsidR="00284BFD">
        <w:t>Pursuant to Federal Rule of Civil Procedure 26(c), the Court hereby enters the following protective order:</w:t>
      </w:r>
    </w:p>
    <w:p w14:paraId="367C79DE" w14:textId="77777777" w:rsidR="005F1452" w:rsidRDefault="00284BFD" w:rsidP="005F1452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</w:pPr>
      <w:r>
        <w:tab/>
        <w:t>1.</w:t>
      </w:r>
      <w:r>
        <w:tab/>
      </w:r>
      <w:r>
        <w:rPr>
          <w:b/>
          <w:bCs/>
        </w:rPr>
        <w:t>Confidential Information</w:t>
      </w:r>
      <w:r>
        <w:t xml:space="preserve"> – Any document or thing that a party reasonably and in good faith believes to contain </w:t>
      </w:r>
      <w:r w:rsidR="001C2710">
        <w:t>confidential information</w:t>
      </w:r>
      <w:r w:rsidR="002E44EE">
        <w:t xml:space="preserve"> that is not publicly available</w:t>
      </w:r>
      <w:r w:rsidR="001C2710">
        <w:t xml:space="preserve"> (</w:t>
      </w:r>
      <w:r w:rsidR="00B0128E">
        <w:t>such as</w:t>
      </w:r>
      <w:r w:rsidR="001C2710">
        <w:t xml:space="preserve"> </w:t>
      </w:r>
      <w:r>
        <w:t>research</w:t>
      </w:r>
      <w:r w:rsidR="001C2710">
        <w:t xml:space="preserve"> and </w:t>
      </w:r>
      <w:r>
        <w:t xml:space="preserve">development, commercial, or </w:t>
      </w:r>
      <w:r w:rsidR="001C2710">
        <w:t xml:space="preserve">other </w:t>
      </w:r>
      <w:r>
        <w:t>sensitive information</w:t>
      </w:r>
      <w:r w:rsidR="001C2710">
        <w:t>)</w:t>
      </w:r>
      <w:r>
        <w:t xml:space="preserve"> may be produced by that party with the clear and obvious designation “CONFIDENTIAL – SUBJECT TO PROTECTIVE ORDER.”</w:t>
      </w:r>
    </w:p>
    <w:p w14:paraId="605C0267" w14:textId="77777777" w:rsidR="00284BFD" w:rsidRDefault="0035157D" w:rsidP="005F1452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</w:pPr>
      <w:r>
        <w:tab/>
      </w:r>
      <w:r w:rsidR="00284BFD">
        <w:t>2.</w:t>
      </w:r>
      <w:r w:rsidR="00284BFD">
        <w:tab/>
      </w:r>
      <w:r w:rsidR="00284BFD">
        <w:rPr>
          <w:b/>
          <w:bCs/>
        </w:rPr>
        <w:t>Non-Disclosure of Confidential Information</w:t>
      </w:r>
      <w:r w:rsidR="00284BFD">
        <w:t xml:space="preserve"> – Any document or thing designated </w:t>
      </w:r>
      <w:r w:rsidR="00FC4B27">
        <w:t xml:space="preserve">as “CONFIDENTIAL – SUBJECT TO PROTECTIVE ORDER” </w:t>
      </w:r>
      <w:r w:rsidR="00284BFD">
        <w:t>may only be used to prosecute or defend this action and shall not be disclosed</w:t>
      </w:r>
      <w:r w:rsidR="00A81545">
        <w:t xml:space="preserve"> to (or the content discussed with)</w:t>
      </w:r>
      <w:r w:rsidR="00284BFD">
        <w:t xml:space="preserve"> anyone other than the following persons:</w:t>
      </w:r>
    </w:p>
    <w:p w14:paraId="44D51191" w14:textId="77777777" w:rsidR="00284BFD" w:rsidRDefault="00284BFD" w:rsidP="00284B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  <w:ind w:left="2160" w:hanging="720"/>
        <w:jc w:val="both"/>
      </w:pPr>
      <w:r>
        <w:lastRenderedPageBreak/>
        <w:t>a.</w:t>
      </w:r>
      <w:r>
        <w:tab/>
        <w:t xml:space="preserve">The </w:t>
      </w:r>
      <w:r w:rsidR="001C2710">
        <w:t xml:space="preserve">named </w:t>
      </w:r>
      <w:r>
        <w:t>parties</w:t>
      </w:r>
      <w:r w:rsidR="00B92EEE">
        <w:t xml:space="preserve"> </w:t>
      </w:r>
      <w:r w:rsidR="001C2710">
        <w:t>i</w:t>
      </w:r>
      <w:r w:rsidR="00B92EEE">
        <w:t>n this case</w:t>
      </w:r>
      <w:r>
        <w:t xml:space="preserve">, their attorneys, and their </w:t>
      </w:r>
      <w:r w:rsidR="004B056F">
        <w:t>support staff</w:t>
      </w:r>
      <w:r>
        <w:t xml:space="preserve"> </w:t>
      </w:r>
      <w:r w:rsidR="004B056F">
        <w:t>(e.g., copying and document management</w:t>
      </w:r>
      <w:r w:rsidR="00E65488">
        <w:t xml:space="preserve"> personnel</w:t>
      </w:r>
      <w:r w:rsidR="004B056F">
        <w:t>)</w:t>
      </w:r>
      <w:r>
        <w:t>.</w:t>
      </w:r>
    </w:p>
    <w:p w14:paraId="3D0FD3F3" w14:textId="77777777" w:rsidR="00284BFD" w:rsidRDefault="00284BFD" w:rsidP="00284B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  <w:ind w:left="2160" w:hanging="720"/>
        <w:jc w:val="both"/>
      </w:pPr>
      <w:r>
        <w:t>b.</w:t>
      </w:r>
      <w:r>
        <w:tab/>
        <w:t>Independent experts or consultants engaged by a party’s attorneys to assist in the preparation and trial of this case who agree to abide by the terms of this Protective Order</w:t>
      </w:r>
      <w:r w:rsidR="00A849D6">
        <w:t xml:space="preserve"> </w:t>
      </w:r>
      <w:r w:rsidR="00D2253C">
        <w:t xml:space="preserve">by signing Exhibit A </w:t>
      </w:r>
      <w:r w:rsidR="00A849D6">
        <w:t>and who are approved by the producing party pursuant to paragraph 5 below</w:t>
      </w:r>
      <w:r>
        <w:t>.</w:t>
      </w:r>
    </w:p>
    <w:p w14:paraId="2342D6D0" w14:textId="77777777" w:rsidR="00284BFD" w:rsidRDefault="005443B0" w:rsidP="00284B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  <w:ind w:left="2160" w:hanging="720"/>
        <w:jc w:val="both"/>
      </w:pPr>
      <w:r>
        <w:t>c.</w:t>
      </w:r>
      <w:r>
        <w:tab/>
        <w:t>D</w:t>
      </w:r>
      <w:r w:rsidR="00284BFD">
        <w:t xml:space="preserve">eposition </w:t>
      </w:r>
      <w:r>
        <w:t xml:space="preserve">witnesses </w:t>
      </w:r>
      <w:r w:rsidR="00284BFD">
        <w:t>whose testimony is being taken with respect to the document or thing, or about the subject matter of the document or thing</w:t>
      </w:r>
      <w:r w:rsidR="00C938D9">
        <w:t>, who agree to abide by the terms of this Protective Order</w:t>
      </w:r>
      <w:r w:rsidR="00284BFD">
        <w:t>.</w:t>
      </w:r>
    </w:p>
    <w:p w14:paraId="5637B29E" w14:textId="77777777" w:rsidR="00284BFD" w:rsidRDefault="00284BFD" w:rsidP="00284B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  <w:ind w:left="2160" w:hanging="720"/>
        <w:jc w:val="both"/>
      </w:pPr>
      <w:r>
        <w:t>d.</w:t>
      </w:r>
      <w:r>
        <w:tab/>
        <w:t xml:space="preserve">This Court and its staff members.  </w:t>
      </w:r>
    </w:p>
    <w:p w14:paraId="31CC350F" w14:textId="77777777" w:rsidR="000070CB" w:rsidRDefault="00284BFD" w:rsidP="00284BF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spacing w:line="480" w:lineRule="auto"/>
        <w:jc w:val="both"/>
      </w:pPr>
      <w:r>
        <w:tab/>
        <w:t>3.</w:t>
      </w:r>
      <w:r>
        <w:tab/>
      </w:r>
      <w:r w:rsidR="000070CB" w:rsidRPr="000070CB">
        <w:rPr>
          <w:b/>
        </w:rPr>
        <w:t>Highly Confidential Information – Attorney’s Eyes Only</w:t>
      </w:r>
      <w:r w:rsidR="000070CB">
        <w:t xml:space="preserve"> – Any document or thing that a party in good faith believes to contain </w:t>
      </w:r>
      <w:r w:rsidR="00BC57E6">
        <w:t>highly confidential information</w:t>
      </w:r>
      <w:r w:rsidR="00C938D9">
        <w:t xml:space="preserve"> </w:t>
      </w:r>
      <w:r w:rsidR="002E44EE">
        <w:t xml:space="preserve">that is not publicly available </w:t>
      </w:r>
      <w:r w:rsidR="00C938D9">
        <w:t>(</w:t>
      </w:r>
      <w:r w:rsidR="00BC57E6">
        <w:t>such a</w:t>
      </w:r>
      <w:r w:rsidR="00B0128E">
        <w:t>s</w:t>
      </w:r>
      <w:r w:rsidR="00BC57E6">
        <w:t xml:space="preserve"> </w:t>
      </w:r>
      <w:r w:rsidR="002F6353">
        <w:t xml:space="preserve">a </w:t>
      </w:r>
      <w:r w:rsidR="00BC57E6">
        <w:t>trade</w:t>
      </w:r>
      <w:r w:rsidR="002F6353">
        <w:t xml:space="preserve"> secret, </w:t>
      </w:r>
      <w:r w:rsidR="002E44EE">
        <w:t xml:space="preserve">or </w:t>
      </w:r>
      <w:r w:rsidR="00C938D9">
        <w:t xml:space="preserve">highly </w:t>
      </w:r>
      <w:r w:rsidR="002F6353">
        <w:t>confidential r</w:t>
      </w:r>
      <w:r w:rsidR="00BC57E6">
        <w:t>esearch</w:t>
      </w:r>
      <w:r w:rsidR="00C938D9">
        <w:t xml:space="preserve"> and development, commercial, or other sensitive</w:t>
      </w:r>
      <w:r w:rsidR="00BC57E6">
        <w:t xml:space="preserve"> information</w:t>
      </w:r>
      <w:r w:rsidR="00C938D9">
        <w:t>)</w:t>
      </w:r>
      <w:r w:rsidR="00BC57E6">
        <w:t xml:space="preserve"> may be produced by that party with the clear and obvious designation “HIGHLY CONFIDENTIAL – ATTORNEY’S EYES ONLY.”  </w:t>
      </w:r>
    </w:p>
    <w:p w14:paraId="021C5C3E" w14:textId="77777777" w:rsidR="00BC57E6" w:rsidRDefault="00BC57E6" w:rsidP="00284BF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spacing w:line="480" w:lineRule="auto"/>
        <w:jc w:val="both"/>
      </w:pPr>
      <w:r>
        <w:tab/>
        <w:t>4.</w:t>
      </w:r>
      <w:r>
        <w:tab/>
      </w:r>
      <w:r w:rsidR="003E223A" w:rsidRPr="00C938D9">
        <w:rPr>
          <w:b/>
        </w:rPr>
        <w:t>Non-Disclosure of Highly Confidential Information</w:t>
      </w:r>
      <w:r w:rsidR="004821D4">
        <w:t xml:space="preserve"> – Any document or thing </w:t>
      </w:r>
      <w:r w:rsidR="003E223A">
        <w:t xml:space="preserve">designated </w:t>
      </w:r>
      <w:r w:rsidR="004821D4">
        <w:t xml:space="preserve">“HIGHLY CONFIDENTIAL – ATTORNEY’S EYES ONLY” </w:t>
      </w:r>
      <w:r w:rsidR="003E223A">
        <w:t xml:space="preserve">may only be used to </w:t>
      </w:r>
      <w:r w:rsidR="007370A6">
        <w:t>prosecute or defend this action</w:t>
      </w:r>
      <w:r w:rsidR="002E44EE">
        <w:t xml:space="preserve"> </w:t>
      </w:r>
      <w:r w:rsidR="003E223A">
        <w:t>and shall not be disclosed to</w:t>
      </w:r>
      <w:r w:rsidR="00A81545">
        <w:t xml:space="preserve"> (nor the content discussed with)</w:t>
      </w:r>
      <w:r w:rsidR="003E223A">
        <w:t xml:space="preserve"> anyone other than the following persons:</w:t>
      </w:r>
    </w:p>
    <w:p w14:paraId="150B5732" w14:textId="77777777" w:rsidR="00E65488" w:rsidRDefault="007370A6" w:rsidP="00E654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spacing w:line="480" w:lineRule="auto"/>
        <w:ind w:left="2160" w:hanging="2160"/>
        <w:jc w:val="both"/>
      </w:pPr>
      <w:r>
        <w:tab/>
      </w:r>
      <w:r>
        <w:tab/>
        <w:t>a.</w:t>
      </w:r>
      <w:r>
        <w:tab/>
        <w:t>Outside attorney</w:t>
      </w:r>
      <w:r w:rsidR="003E223A">
        <w:t xml:space="preserve">s of record </w:t>
      </w:r>
      <w:r w:rsidR="00A81545">
        <w:t xml:space="preserve">in this </w:t>
      </w:r>
      <w:r w:rsidR="00D2253C">
        <w:t xml:space="preserve">lawsuit </w:t>
      </w:r>
      <w:r w:rsidR="003E223A">
        <w:t xml:space="preserve">and their </w:t>
      </w:r>
      <w:r w:rsidR="004B056F">
        <w:t xml:space="preserve">support </w:t>
      </w:r>
      <w:r w:rsidR="003E223A">
        <w:t>staff</w:t>
      </w:r>
      <w:r w:rsidR="004B056F">
        <w:t xml:space="preserve"> (e.g., copying and document management</w:t>
      </w:r>
      <w:r w:rsidR="00E65488">
        <w:t xml:space="preserve"> personnel</w:t>
      </w:r>
      <w:r w:rsidR="004B056F">
        <w:t>)</w:t>
      </w:r>
      <w:r>
        <w:t xml:space="preserve"> who are not involved in patent prosecution for the receiving party in the same technology area</w:t>
      </w:r>
      <w:r w:rsidR="004B056F">
        <w:t>.</w:t>
      </w:r>
    </w:p>
    <w:p w14:paraId="6F1CD422" w14:textId="77777777" w:rsidR="003E223A" w:rsidRDefault="003E223A" w:rsidP="003E22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  <w:ind w:left="2160" w:hanging="720"/>
        <w:jc w:val="both"/>
      </w:pPr>
      <w:r>
        <w:lastRenderedPageBreak/>
        <w:t>b.</w:t>
      </w:r>
      <w:r>
        <w:tab/>
        <w:t>Independent experts or consultants engaged by a party’s attorneys to assist in the preparat</w:t>
      </w:r>
      <w:r w:rsidR="00C938D9">
        <w:t xml:space="preserve">ion and trial of this case </w:t>
      </w:r>
      <w:r>
        <w:t>who agree to abide by the terms of this Protective Order</w:t>
      </w:r>
      <w:r w:rsidR="00C938D9">
        <w:t xml:space="preserve"> </w:t>
      </w:r>
      <w:r w:rsidR="00D2253C">
        <w:t xml:space="preserve">by signing Exhibit A </w:t>
      </w:r>
      <w:r w:rsidR="00C938D9">
        <w:t>and who are approved by the producing party pursuant to paragraph 5 below</w:t>
      </w:r>
      <w:r>
        <w:t>.</w:t>
      </w:r>
    </w:p>
    <w:p w14:paraId="40030B52" w14:textId="77777777" w:rsidR="003E223A" w:rsidRDefault="003E223A" w:rsidP="003E22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  <w:ind w:left="2160" w:hanging="720"/>
        <w:jc w:val="both"/>
      </w:pPr>
      <w:r>
        <w:t>c.</w:t>
      </w:r>
      <w:r>
        <w:tab/>
      </w:r>
      <w:r w:rsidR="005443B0">
        <w:t xml:space="preserve">Deposition witnesses </w:t>
      </w:r>
      <w:r>
        <w:t>whose testimony is being taken with respect to the document or thing, or about the subject matter of the document or thing</w:t>
      </w:r>
      <w:r w:rsidR="001C2710">
        <w:t>, who agree to abide by the terms of this Protective Order</w:t>
      </w:r>
      <w:r>
        <w:t>.</w:t>
      </w:r>
    </w:p>
    <w:p w14:paraId="4FD62314" w14:textId="77777777" w:rsidR="003E223A" w:rsidRDefault="003E223A" w:rsidP="003E22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spacing w:line="480" w:lineRule="auto"/>
        <w:jc w:val="both"/>
      </w:pPr>
      <w:r>
        <w:tab/>
      </w:r>
      <w:r>
        <w:tab/>
        <w:t>d.</w:t>
      </w:r>
      <w:r>
        <w:tab/>
        <w:t xml:space="preserve">This Court and its staff members.  </w:t>
      </w:r>
    </w:p>
    <w:p w14:paraId="650C8B62" w14:textId="77777777" w:rsidR="00C938D9" w:rsidRDefault="000070CB" w:rsidP="00284BF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spacing w:line="480" w:lineRule="auto"/>
        <w:jc w:val="both"/>
      </w:pPr>
      <w:r>
        <w:tab/>
      </w:r>
      <w:r w:rsidR="00C938D9">
        <w:t>5.</w:t>
      </w:r>
      <w:r w:rsidR="00C938D9">
        <w:tab/>
      </w:r>
      <w:r w:rsidR="004772C7">
        <w:rPr>
          <w:b/>
        </w:rPr>
        <w:t xml:space="preserve">Disclosure to </w:t>
      </w:r>
      <w:r w:rsidR="00C938D9" w:rsidRPr="00C938D9">
        <w:rPr>
          <w:b/>
        </w:rPr>
        <w:t>Experts and Consultants</w:t>
      </w:r>
      <w:r w:rsidR="00C938D9">
        <w:t xml:space="preserve"> – Before any documents, testimony, or other information designated as “</w:t>
      </w:r>
      <w:r w:rsidR="00047E9B">
        <w:t>CONFIDENTIAL – SUBJECT TO PROTECTIVE ORDER</w:t>
      </w:r>
      <w:r w:rsidR="00C938D9">
        <w:t>” or “</w:t>
      </w:r>
      <w:r w:rsidR="00047E9B">
        <w:t>HIGHLY CONFIDENTIAL – ATTORNEY’S EYES ONLY</w:t>
      </w:r>
      <w:r w:rsidR="00C938D9">
        <w:t xml:space="preserve">” </w:t>
      </w:r>
      <w:r w:rsidR="00FC4B27">
        <w:t>are</w:t>
      </w:r>
      <w:r w:rsidR="00047E9B">
        <w:t xml:space="preserve"> disclosed to an independent expert or consultant, the receiving party shall give the producing party </w:t>
      </w:r>
      <w:r w:rsidR="00BD1476">
        <w:t>ten (</w:t>
      </w:r>
      <w:r w:rsidR="00047E9B">
        <w:t>10</w:t>
      </w:r>
      <w:r w:rsidR="00BD1476">
        <w:t>)</w:t>
      </w:r>
      <w:r w:rsidR="00047E9B">
        <w:t xml:space="preserve"> days written notice of the proposed expert.  If the producing party objects to the expert, no </w:t>
      </w:r>
      <w:r w:rsidR="004772C7">
        <w:t xml:space="preserve">designated </w:t>
      </w:r>
      <w:r w:rsidR="00047E9B">
        <w:t xml:space="preserve">material or information </w:t>
      </w:r>
      <w:r w:rsidR="004772C7">
        <w:t xml:space="preserve">of the producing party </w:t>
      </w:r>
      <w:r w:rsidR="00047E9B">
        <w:t xml:space="preserve">shall be disclosed to </w:t>
      </w:r>
      <w:r w:rsidR="00CB0CBC">
        <w:t xml:space="preserve">the </w:t>
      </w:r>
      <w:r w:rsidR="00047E9B">
        <w:t xml:space="preserve">expert or consultant until the </w:t>
      </w:r>
      <w:r w:rsidR="004772C7">
        <w:t>iss</w:t>
      </w:r>
      <w:r w:rsidR="00047E9B">
        <w:t xml:space="preserve">ue is resolved by the Court. </w:t>
      </w:r>
    </w:p>
    <w:p w14:paraId="2D4C15A1" w14:textId="77777777" w:rsidR="00284BFD" w:rsidRDefault="00C938D9" w:rsidP="00284BF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spacing w:line="480" w:lineRule="auto"/>
        <w:jc w:val="both"/>
      </w:pPr>
      <w:r>
        <w:tab/>
        <w:t>6</w:t>
      </w:r>
      <w:r w:rsidR="000070CB">
        <w:t>.</w:t>
      </w:r>
      <w:r w:rsidR="000070CB">
        <w:tab/>
      </w:r>
      <w:r w:rsidR="00284BFD">
        <w:rPr>
          <w:b/>
          <w:bCs/>
        </w:rPr>
        <w:t>Deposition Testimony</w:t>
      </w:r>
      <w:r w:rsidR="00284BFD">
        <w:t xml:space="preserve"> – Any portions of requested testimony, </w:t>
      </w:r>
      <w:r w:rsidR="00FC4B27">
        <w:t xml:space="preserve">a </w:t>
      </w:r>
      <w:r w:rsidR="00284BFD">
        <w:t xml:space="preserve">transcript and/or </w:t>
      </w:r>
      <w:r w:rsidR="00A849D6">
        <w:t xml:space="preserve">a </w:t>
      </w:r>
      <w:r w:rsidR="00284BFD">
        <w:t xml:space="preserve">brief may be designated as </w:t>
      </w:r>
      <w:bookmarkStart w:id="0" w:name="OLE_LINK1"/>
      <w:bookmarkStart w:id="1" w:name="OLE_LINK2"/>
      <w:r w:rsidR="00284BFD">
        <w:t xml:space="preserve">“CONFIDENTIAL – SUBJECT TO PROTECTIVE ORDER” </w:t>
      </w:r>
      <w:r w:rsidR="003E223A">
        <w:t xml:space="preserve">or “HIGHLY CONFIDENTIAL – ATTORNEY’S EYES ONLY” </w:t>
      </w:r>
      <w:bookmarkEnd w:id="0"/>
      <w:bookmarkEnd w:id="1"/>
      <w:r w:rsidR="00284BFD">
        <w:t>if the party or attorney making the designation reasonably and in good faith believes it will reveal a trade secret or other confide</w:t>
      </w:r>
      <w:r w:rsidR="003E223A">
        <w:t>ntial research</w:t>
      </w:r>
      <w:r w:rsidR="00A849D6">
        <w:t xml:space="preserve"> and</w:t>
      </w:r>
      <w:r w:rsidR="003E223A">
        <w:t xml:space="preserve"> development, </w:t>
      </w:r>
      <w:r w:rsidR="00284BFD">
        <w:t>commercial, or</w:t>
      </w:r>
      <w:r w:rsidR="003E223A">
        <w:t xml:space="preserve"> </w:t>
      </w:r>
      <w:r w:rsidR="00284BFD">
        <w:t xml:space="preserve">sensitive information.  </w:t>
      </w:r>
    </w:p>
    <w:p w14:paraId="5AE691F6" w14:textId="77777777" w:rsidR="00284BFD" w:rsidRDefault="00C938D9" w:rsidP="00284BFD">
      <w:pPr>
        <w:tabs>
          <w:tab w:val="left" w:pos="-143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spacing w:line="480" w:lineRule="auto"/>
        <w:jc w:val="both"/>
      </w:pPr>
      <w:r>
        <w:tab/>
        <w:t>7</w:t>
      </w:r>
      <w:r w:rsidR="00284BFD">
        <w:t>.</w:t>
      </w:r>
      <w:r w:rsidR="00284BFD">
        <w:tab/>
      </w:r>
      <w:r w:rsidR="00284BFD">
        <w:rPr>
          <w:b/>
          <w:bCs/>
        </w:rPr>
        <w:t xml:space="preserve">Motion Practice </w:t>
      </w:r>
      <w:r w:rsidR="00284BFD">
        <w:t>–</w:t>
      </w:r>
      <w:r w:rsidR="00A02DD8">
        <w:t xml:space="preserve"> </w:t>
      </w:r>
      <w:r w:rsidR="000C5493">
        <w:t xml:space="preserve">This Order does not authorize the filing of any documents under seal.  </w:t>
      </w:r>
      <w:r w:rsidR="00A81545">
        <w:t>Local Rule 5.3</w:t>
      </w:r>
      <w:r w:rsidR="00A02DD8">
        <w:t xml:space="preserve"> shall apply to </w:t>
      </w:r>
      <w:r w:rsidR="000C5493">
        <w:t>the sealing of do</w:t>
      </w:r>
      <w:r w:rsidR="00A02DD8">
        <w:t xml:space="preserve">cuments submitted as part of a motion or other </w:t>
      </w:r>
      <w:r w:rsidR="00A02DD8">
        <w:lastRenderedPageBreak/>
        <w:t>court filing</w:t>
      </w:r>
      <w:r w:rsidR="00A81545">
        <w:t>.</w:t>
      </w:r>
      <w:r w:rsidR="001D714D">
        <w:t xml:space="preserve">  </w:t>
      </w:r>
      <w:r w:rsidR="00A02DD8">
        <w:t xml:space="preserve">Documents may be sealed only </w:t>
      </w:r>
      <w:r w:rsidR="005D3BAD">
        <w:t xml:space="preserve">as </w:t>
      </w:r>
      <w:r w:rsidR="00A02DD8">
        <w:t xml:space="preserve">authorized by statute, rule, or </w:t>
      </w:r>
      <w:r w:rsidR="000C5493">
        <w:t xml:space="preserve">specific </w:t>
      </w:r>
      <w:r w:rsidR="00A02DD8">
        <w:t xml:space="preserve">order of the Court.  The Court notes that the standards </w:t>
      </w:r>
      <w:r w:rsidR="008F1E87">
        <w:t xml:space="preserve">under Rule 26 </w:t>
      </w:r>
      <w:r w:rsidR="00A02DD8">
        <w:t xml:space="preserve">for entering a protective order </w:t>
      </w:r>
      <w:r w:rsidR="005D3BAD">
        <w:t xml:space="preserve">to govern discovery </w:t>
      </w:r>
      <w:r w:rsidR="00A02DD8">
        <w:t>differ from the more demanding standards for sealing off judic</w:t>
      </w:r>
      <w:r w:rsidR="000C5493">
        <w:t>i</w:t>
      </w:r>
      <w:r w:rsidR="00A02DD8">
        <w:t xml:space="preserve">al records from public view.  </w:t>
      </w:r>
      <w:r w:rsidR="000C5493" w:rsidRPr="000C5493">
        <w:rPr>
          <w:i/>
        </w:rPr>
        <w:t>Shane Group, Inc. v. Blue Cross Blue Shield of Michigan</w:t>
      </w:r>
      <w:r w:rsidR="000C5493">
        <w:t>, 825 F.3d 299 (6</w:t>
      </w:r>
      <w:r w:rsidR="000C5493" w:rsidRPr="000C5493">
        <w:rPr>
          <w:vertAlign w:val="superscript"/>
        </w:rPr>
        <w:t>th</w:t>
      </w:r>
      <w:r w:rsidR="000C5493">
        <w:t xml:space="preserve"> Cir. 2016).  There is a “strong presumption in favor of openness’ regarding court records.”  </w:t>
      </w:r>
      <w:r w:rsidR="000C5493" w:rsidRPr="000C5493">
        <w:rPr>
          <w:i/>
        </w:rPr>
        <w:t>Id</w:t>
      </w:r>
      <w:r w:rsidR="000C5493">
        <w:t xml:space="preserve">. at 305 (quoting </w:t>
      </w:r>
      <w:r w:rsidR="000C5493" w:rsidRPr="000C5493">
        <w:rPr>
          <w:i/>
        </w:rPr>
        <w:t>Brown &amp; Williamson Tobacco Corp. v. F.T.C.</w:t>
      </w:r>
      <w:r w:rsidR="000C5493">
        <w:t>, 710 F.3d 1165, 1180 (6</w:t>
      </w:r>
      <w:r w:rsidR="000C5493" w:rsidRPr="000C5493">
        <w:rPr>
          <w:vertAlign w:val="superscript"/>
        </w:rPr>
        <w:t>th</w:t>
      </w:r>
      <w:r w:rsidR="000C5493">
        <w:t xml:space="preserve"> Cir. 1983).   </w:t>
      </w:r>
    </w:p>
    <w:p w14:paraId="5A7A675A" w14:textId="77777777" w:rsidR="005565E4" w:rsidRDefault="00C938D9" w:rsidP="00284BFD">
      <w:pPr>
        <w:tabs>
          <w:tab w:val="left" w:pos="-143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spacing w:line="480" w:lineRule="auto"/>
        <w:jc w:val="both"/>
      </w:pPr>
      <w:r>
        <w:tab/>
        <w:t>8</w:t>
      </w:r>
      <w:r w:rsidR="00284BFD">
        <w:t>.</w:t>
      </w:r>
      <w:r w:rsidR="005565E4">
        <w:tab/>
      </w:r>
      <w:r w:rsidR="005565E4" w:rsidRPr="005565E4">
        <w:rPr>
          <w:b/>
        </w:rPr>
        <w:t>Discovery from Third Parties</w:t>
      </w:r>
      <w:r w:rsidR="005565E4">
        <w:t xml:space="preserve"> – This Protective Order shall apply to discovery sought from persons or companies who are not parties to this lawsuit. </w:t>
      </w:r>
      <w:r w:rsidR="00D2253C">
        <w:t xml:space="preserve"> Third parties</w:t>
      </w:r>
      <w:r w:rsidR="005565E4">
        <w:t xml:space="preserve"> may designate information produced under either the “CONFIDENTIAL – SUBJECT TO PROTECTIVE ORDER” or “HIGHLY CONFIDENTIAL – ATTORNEY’S EYES ONLY”</w:t>
      </w:r>
      <w:r w:rsidR="00BD1476">
        <w:t xml:space="preserve"> designation.  </w:t>
      </w:r>
    </w:p>
    <w:p w14:paraId="24DBD17F" w14:textId="77777777" w:rsidR="00284BFD" w:rsidRDefault="005565E4" w:rsidP="00284BFD">
      <w:pPr>
        <w:tabs>
          <w:tab w:val="left" w:pos="-143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spacing w:line="480" w:lineRule="auto"/>
        <w:jc w:val="both"/>
      </w:pPr>
      <w:r>
        <w:tab/>
        <w:t>9.</w:t>
      </w:r>
      <w:r>
        <w:tab/>
      </w:r>
      <w:r w:rsidR="00284BFD">
        <w:rPr>
          <w:b/>
          <w:bCs/>
        </w:rPr>
        <w:t xml:space="preserve">Challenging “Confidential” </w:t>
      </w:r>
      <w:r w:rsidR="00E70D5D">
        <w:rPr>
          <w:b/>
          <w:bCs/>
        </w:rPr>
        <w:t xml:space="preserve">or “Highly Confidential” </w:t>
      </w:r>
      <w:r w:rsidR="00284BFD">
        <w:rPr>
          <w:b/>
          <w:bCs/>
        </w:rPr>
        <w:t>Designation</w:t>
      </w:r>
      <w:r w:rsidR="00284BFD">
        <w:t xml:space="preserve"> – Any party that wishes to challenge the designation of any document, thing, or testimony as confidential </w:t>
      </w:r>
      <w:r w:rsidR="00E70D5D">
        <w:t xml:space="preserve">or highly confidential </w:t>
      </w:r>
      <w:r w:rsidR="00284BFD">
        <w:t>under Federal Rule of Civil Procedure 26(c) may do so at any time by way of motion to this Court</w:t>
      </w:r>
      <w:r w:rsidR="00A849D6">
        <w:t>.</w:t>
      </w:r>
      <w:r w:rsidR="00284BFD">
        <w:t xml:space="preserve"> </w:t>
      </w:r>
      <w:r w:rsidR="00A849D6">
        <w:t xml:space="preserve"> T</w:t>
      </w:r>
      <w:r w:rsidR="00284BFD">
        <w:t>he designating party shall have the burden of justifying its designation.  Before filing any such motion, however, the parties shall first attempt to resolve their disagreement without Court intervention.</w:t>
      </w:r>
    </w:p>
    <w:p w14:paraId="2000BAE6" w14:textId="77777777" w:rsidR="00284BFD" w:rsidRDefault="00C938D9" w:rsidP="00284BF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  <w:jc w:val="both"/>
      </w:pPr>
      <w:r>
        <w:tab/>
      </w:r>
      <w:r>
        <w:tab/>
      </w:r>
      <w:r w:rsidR="005565E4">
        <w:t>10</w:t>
      </w:r>
      <w:r w:rsidR="00284BFD">
        <w:t>.</w:t>
      </w:r>
      <w:r w:rsidR="00284BFD">
        <w:tab/>
      </w:r>
      <w:r w:rsidR="00284BFD">
        <w:rPr>
          <w:b/>
          <w:bCs/>
        </w:rPr>
        <w:t>Trial Testimony</w:t>
      </w:r>
      <w:r w:rsidR="00284BFD">
        <w:t xml:space="preserve"> – This Protective Order shall not govern proceedings at trial.</w:t>
      </w:r>
    </w:p>
    <w:p w14:paraId="570EC127" w14:textId="77777777" w:rsidR="00284BFD" w:rsidRDefault="005565E4" w:rsidP="00284BF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  <w:jc w:val="both"/>
      </w:pPr>
      <w:r>
        <w:tab/>
      </w:r>
      <w:r>
        <w:tab/>
        <w:t>11</w:t>
      </w:r>
      <w:r w:rsidR="00284BFD">
        <w:t>.</w:t>
      </w:r>
      <w:r w:rsidR="00284BFD">
        <w:tab/>
      </w:r>
      <w:r w:rsidR="00284BFD">
        <w:rPr>
          <w:b/>
          <w:bCs/>
        </w:rPr>
        <w:t>Termination of Lawsuit</w:t>
      </w:r>
      <w:r w:rsidR="00284BFD">
        <w:t xml:space="preserve"> – All documents and things designated as “CONFIDENTIA</w:t>
      </w:r>
      <w:r w:rsidR="00E70D5D">
        <w:t>L – SUBJECT TO PROTECTIVE ORDER</w:t>
      </w:r>
      <w:r w:rsidR="00284BFD">
        <w:t>”</w:t>
      </w:r>
      <w:r w:rsidR="00E70D5D">
        <w:t xml:space="preserve"> or “HIGHLY CONFIDENTIAL – ATTORNEY’S EYES ONLY,”</w:t>
      </w:r>
      <w:r w:rsidR="00284BFD">
        <w:t xml:space="preserve"> and all copies thereof, shall either be returned to the party that produced them upon the final disposition of this action or they may be destroyed with permission </w:t>
      </w:r>
      <w:r w:rsidR="00284BFD">
        <w:lastRenderedPageBreak/>
        <w:t xml:space="preserve">of the </w:t>
      </w:r>
      <w:r w:rsidR="00DA1211">
        <w:t>party that produced them</w:t>
      </w:r>
      <w:r w:rsidR="00284BFD">
        <w:t>.  This provision shall not apply to documents and things the Court determines are not confidential.</w:t>
      </w:r>
    </w:p>
    <w:p w14:paraId="6C14C676" w14:textId="77777777" w:rsidR="004772C7" w:rsidRDefault="005565E4" w:rsidP="00E9018A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  <w:jc w:val="both"/>
      </w:pPr>
      <w:r>
        <w:tab/>
      </w:r>
      <w:r>
        <w:tab/>
        <w:t>12</w:t>
      </w:r>
      <w:r w:rsidR="00E94525">
        <w:t>.</w:t>
      </w:r>
      <w:r w:rsidR="00E94525">
        <w:tab/>
      </w:r>
      <w:r w:rsidR="00E94525" w:rsidRPr="00E94525">
        <w:rPr>
          <w:b/>
        </w:rPr>
        <w:t>Inadvertent Production of Privileged Material</w:t>
      </w:r>
      <w:r w:rsidR="00E94525">
        <w:t xml:space="preserve"> – Any inad</w:t>
      </w:r>
      <w:r w:rsidR="00073E34">
        <w:t>vertent production of privilege or work product protected</w:t>
      </w:r>
      <w:r w:rsidR="00E94525">
        <w:t xml:space="preserve"> </w:t>
      </w:r>
      <w:r w:rsidR="00E63669">
        <w:t>material shall not result in</w:t>
      </w:r>
      <w:r w:rsidR="00E94525">
        <w:t xml:space="preserve"> </w:t>
      </w:r>
      <w:r w:rsidR="00E63669">
        <w:t xml:space="preserve">the </w:t>
      </w:r>
      <w:r w:rsidR="00E94525">
        <w:t>waiver of any associated privilege</w:t>
      </w:r>
      <w:r w:rsidR="00E63669">
        <w:t xml:space="preserve"> (attorney-client privilege, work product doctrine, etc.)</w:t>
      </w:r>
      <w:r w:rsidR="00E94525">
        <w:t xml:space="preserve">.  However, the disclosure of any </w:t>
      </w:r>
      <w:proofErr w:type="gramStart"/>
      <w:r w:rsidR="00E94525">
        <w:t>particular material</w:t>
      </w:r>
      <w:proofErr w:type="gramEnd"/>
      <w:r w:rsidR="00E94525">
        <w:t xml:space="preserve"> shall cease to be “inadvertent” if </w:t>
      </w:r>
      <w:r w:rsidR="00E63669">
        <w:t xml:space="preserve">the receiving party notifies the producing party of the disclosure and the producing party does not request the return of the privileged matter within 10 days.  </w:t>
      </w:r>
    </w:p>
    <w:p w14:paraId="740EA024" w14:textId="77777777" w:rsidR="00CB6A21" w:rsidRDefault="00CB6A21" w:rsidP="00E9018A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  <w:jc w:val="both"/>
      </w:pPr>
    </w:p>
    <w:p w14:paraId="702267E8" w14:textId="77777777" w:rsidR="00284BFD" w:rsidRPr="00BD1476" w:rsidRDefault="00CB6A21" w:rsidP="004772C7">
      <w:pPr>
        <w:pStyle w:val="Heading2"/>
        <w:numPr>
          <w:ilvl w:val="0"/>
          <w:numId w:val="0"/>
        </w:numPr>
        <w:tabs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14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="00284BFD" w:rsidRPr="00BD1476">
        <w:rPr>
          <w:b/>
        </w:rPr>
        <w:t>SO</w:t>
      </w:r>
      <w:proofErr w:type="gramEnd"/>
      <w:r w:rsidR="00284BFD" w:rsidRPr="00BD1476">
        <w:rPr>
          <w:b/>
        </w:rPr>
        <w:t xml:space="preserve"> ORDERED </w:t>
      </w:r>
    </w:p>
    <w:p w14:paraId="72F91F99" w14:textId="77777777" w:rsidR="00F44C75" w:rsidRDefault="00F44C75">
      <w:pPr>
        <w:jc w:val="both"/>
      </w:pPr>
    </w:p>
    <w:p w14:paraId="5A3E1536" w14:textId="77777777" w:rsidR="00F44C75" w:rsidRDefault="00F44C75">
      <w:pPr>
        <w:jc w:val="both"/>
      </w:pPr>
    </w:p>
    <w:p w14:paraId="1AC0905C" w14:textId="77777777" w:rsidR="00F44C75" w:rsidRDefault="00F44C75">
      <w:pPr>
        <w:jc w:val="both"/>
      </w:pPr>
      <w:r>
        <w:t>Dated: _______________________</w:t>
      </w:r>
      <w:r>
        <w:tab/>
      </w:r>
      <w:r>
        <w:tab/>
      </w:r>
      <w:r>
        <w:tab/>
        <w:t>__________________________</w:t>
      </w:r>
    </w:p>
    <w:p w14:paraId="686EE7CB" w14:textId="77777777" w:rsidR="00F44C75" w:rsidRDefault="00F44C7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109A">
        <w:t>Honorable Terrence G. Berg</w:t>
      </w:r>
    </w:p>
    <w:p w14:paraId="01BF56CD" w14:textId="77777777" w:rsidR="00F44C75" w:rsidRDefault="00F44C75" w:rsidP="004B056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United States Di</w:t>
      </w:r>
      <w:r w:rsidR="006526EA">
        <w:t>strict Court Judge</w:t>
      </w:r>
    </w:p>
    <w:p w14:paraId="2471BA36" w14:textId="77777777" w:rsidR="006526EA" w:rsidRDefault="006526EA" w:rsidP="004B056F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6"/>
        <w:gridCol w:w="4674"/>
      </w:tblGrid>
      <w:tr w:rsidR="00F44C75" w14:paraId="1F96D9A5" w14:textId="77777777">
        <w:tc>
          <w:tcPr>
            <w:tcW w:w="4788" w:type="dxa"/>
          </w:tcPr>
          <w:p w14:paraId="3A0164E3" w14:textId="77777777" w:rsidR="00F44C75" w:rsidRDefault="00960469" w:rsidP="004772C7">
            <w:r>
              <w:t>CGD</w:t>
            </w:r>
          </w:p>
        </w:tc>
        <w:tc>
          <w:tcPr>
            <w:tcW w:w="4788" w:type="dxa"/>
          </w:tcPr>
          <w:p w14:paraId="62883CF1" w14:textId="77777777" w:rsidR="00F44C75" w:rsidRDefault="00F44C75" w:rsidP="00E9018A"/>
        </w:tc>
      </w:tr>
    </w:tbl>
    <w:p w14:paraId="79285E96" w14:textId="77777777" w:rsidR="00BD1476" w:rsidRDefault="00BD1476" w:rsidP="00E9018A"/>
    <w:p w14:paraId="1CC1A3EB" w14:textId="77777777" w:rsidR="00BD1476" w:rsidRPr="00782EC9" w:rsidRDefault="00BD1476" w:rsidP="00BD1476">
      <w:pPr>
        <w:jc w:val="center"/>
        <w:rPr>
          <w:b/>
        </w:rPr>
      </w:pPr>
      <w:r>
        <w:br w:type="page"/>
      </w:r>
      <w:r w:rsidRPr="00782EC9">
        <w:rPr>
          <w:b/>
        </w:rPr>
        <w:lastRenderedPageBreak/>
        <w:t>UNITED STATES DISTRICT COURT</w:t>
      </w:r>
    </w:p>
    <w:p w14:paraId="4BBA38ED" w14:textId="77777777" w:rsidR="00BD1476" w:rsidRPr="00782EC9" w:rsidRDefault="00BD1476" w:rsidP="00BD1476">
      <w:pPr>
        <w:jc w:val="center"/>
        <w:rPr>
          <w:b/>
        </w:rPr>
      </w:pPr>
      <w:r w:rsidRPr="00782EC9">
        <w:rPr>
          <w:b/>
        </w:rPr>
        <w:t>EASTERN DISTRICT OF MICHIGAN</w:t>
      </w:r>
    </w:p>
    <w:p w14:paraId="4226ABAC" w14:textId="77777777" w:rsidR="00BD1476" w:rsidRPr="00782EC9" w:rsidRDefault="00BD1476" w:rsidP="00BD1476">
      <w:pPr>
        <w:jc w:val="center"/>
        <w:rPr>
          <w:b/>
        </w:rPr>
      </w:pPr>
      <w:r w:rsidRPr="00782EC9">
        <w:rPr>
          <w:b/>
        </w:rPr>
        <w:t>SOUTHERN DIVISION</w:t>
      </w:r>
    </w:p>
    <w:p w14:paraId="6094BB93" w14:textId="77777777" w:rsidR="00BD1476" w:rsidRDefault="00BD1476" w:rsidP="00BD1476">
      <w:pPr>
        <w:jc w:val="center"/>
      </w:pPr>
    </w:p>
    <w:p w14:paraId="44ECEB4A" w14:textId="77777777" w:rsidR="00BD1476" w:rsidRDefault="00BD1476" w:rsidP="00BD1476">
      <w:r>
        <w:t>PARTY 123,</w:t>
      </w:r>
    </w:p>
    <w:p w14:paraId="500B5D82" w14:textId="77777777" w:rsidR="00BD1476" w:rsidRDefault="00BD1476" w:rsidP="00BD1476"/>
    <w:p w14:paraId="5F0F2615" w14:textId="77777777" w:rsidR="00BD1476" w:rsidRDefault="00BD1476" w:rsidP="00BD1476">
      <w:r>
        <w:tab/>
        <w:t>Plaintiff,</w:t>
      </w:r>
      <w:r>
        <w:tab/>
      </w:r>
      <w:r>
        <w:tab/>
      </w:r>
      <w:r>
        <w:tab/>
      </w:r>
      <w:r>
        <w:tab/>
      </w:r>
      <w:r>
        <w:tab/>
      </w:r>
      <w:r>
        <w:tab/>
        <w:t>Case No.:  _____________</w:t>
      </w:r>
    </w:p>
    <w:p w14:paraId="6334D602" w14:textId="77777777" w:rsidR="00BD1476" w:rsidRDefault="00BD1476" w:rsidP="00BD1476"/>
    <w:p w14:paraId="7D02F785" w14:textId="77777777" w:rsidR="00BD1476" w:rsidRDefault="00BD1476" w:rsidP="00BD1476">
      <w:r>
        <w:tab/>
        <w:t>vs.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Honorable </w:t>
      </w:r>
      <w:r w:rsidR="005904B0">
        <w:t>Terrence G. Berg</w:t>
      </w:r>
    </w:p>
    <w:p w14:paraId="75DE9FA0" w14:textId="77777777" w:rsidR="00BD1476" w:rsidRDefault="00BD1476" w:rsidP="00BD1476">
      <w:r>
        <w:tab/>
      </w:r>
    </w:p>
    <w:p w14:paraId="789EB622" w14:textId="77777777" w:rsidR="00BD1476" w:rsidRDefault="00BD1476" w:rsidP="00BD1476">
      <w:r>
        <w:t>PARTY XYZ,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Magistrate Judge _________</w:t>
      </w:r>
    </w:p>
    <w:p w14:paraId="7BBE1DAD" w14:textId="77777777" w:rsidR="00BD1476" w:rsidRDefault="00BD1476" w:rsidP="00BD1476">
      <w:r>
        <w:t xml:space="preserve"> </w:t>
      </w:r>
    </w:p>
    <w:p w14:paraId="47856245" w14:textId="77777777" w:rsidR="00BD1476" w:rsidRDefault="00BD1476" w:rsidP="00BD1476">
      <w:r>
        <w:tab/>
        <w:t>Defendant.</w:t>
      </w:r>
    </w:p>
    <w:p w14:paraId="6317C49C" w14:textId="77777777" w:rsidR="00BD1476" w:rsidRDefault="00BD1476" w:rsidP="00BD1476">
      <w:pPr>
        <w:jc w:val="both"/>
      </w:pPr>
    </w:p>
    <w:p w14:paraId="21DE82D2" w14:textId="77777777" w:rsidR="00BD1476" w:rsidRDefault="00BD1476" w:rsidP="00BD1476">
      <w:r>
        <w:t>_______________________________________________________________________</w:t>
      </w:r>
    </w:p>
    <w:p w14:paraId="704D6636" w14:textId="77777777" w:rsidR="00BD1476" w:rsidRDefault="00BD1476" w:rsidP="00BD1476">
      <w:pPr>
        <w:jc w:val="center"/>
        <w:rPr>
          <w:b/>
        </w:rPr>
      </w:pPr>
    </w:p>
    <w:p w14:paraId="64572119" w14:textId="77777777" w:rsidR="00BD1476" w:rsidRDefault="00BD1476" w:rsidP="00BD1476">
      <w:pPr>
        <w:rPr>
          <w:b/>
        </w:rPr>
      </w:pPr>
    </w:p>
    <w:p w14:paraId="7D9DA31B" w14:textId="77777777" w:rsidR="00BD1476" w:rsidRDefault="00B236BD" w:rsidP="00BD1476">
      <w:pPr>
        <w:pStyle w:val="Heading1"/>
        <w:numPr>
          <w:ilvl w:val="0"/>
          <w:numId w:val="0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t xml:space="preserve">EXHIBIT A – </w:t>
      </w:r>
      <w:r w:rsidR="00BD1476">
        <w:t>AGREEMENT TO BE BOUND BY PROTECTIVE ORDER</w:t>
      </w:r>
    </w:p>
    <w:p w14:paraId="238739A6" w14:textId="77777777" w:rsidR="00BD1476" w:rsidRDefault="00BD1476" w:rsidP="00BD1476"/>
    <w:p w14:paraId="15BB4C15" w14:textId="77777777" w:rsidR="00BD1476" w:rsidRDefault="00BD1476" w:rsidP="003A4E08">
      <w:pPr>
        <w:jc w:val="both"/>
      </w:pPr>
      <w:r>
        <w:tab/>
        <w:t>I, __________________________, declare as follows:</w:t>
      </w:r>
    </w:p>
    <w:p w14:paraId="4D626CA3" w14:textId="77777777" w:rsidR="00BD1476" w:rsidRDefault="00BD1476" w:rsidP="003A4E08">
      <w:pPr>
        <w:jc w:val="both"/>
      </w:pPr>
    </w:p>
    <w:p w14:paraId="53EE8D18" w14:textId="77777777" w:rsidR="00F44C75" w:rsidRDefault="00BD1476" w:rsidP="003A4E08">
      <w:pPr>
        <w:numPr>
          <w:ilvl w:val="0"/>
          <w:numId w:val="16"/>
        </w:numPr>
        <w:spacing w:line="480" w:lineRule="auto"/>
        <w:jc w:val="both"/>
      </w:pPr>
      <w:r>
        <w:t>I have read the Protective Order in the above captioned case.</w:t>
      </w:r>
    </w:p>
    <w:p w14:paraId="01A7B06F" w14:textId="77777777" w:rsidR="00BD1476" w:rsidRDefault="00BD1476" w:rsidP="003A4E08">
      <w:pPr>
        <w:numPr>
          <w:ilvl w:val="0"/>
          <w:numId w:val="16"/>
        </w:numPr>
        <w:spacing w:line="480" w:lineRule="auto"/>
        <w:jc w:val="both"/>
      </w:pPr>
      <w:r>
        <w:t xml:space="preserve">I promise that I will </w:t>
      </w:r>
      <w:r w:rsidR="00B236BD">
        <w:t xml:space="preserve">only </w:t>
      </w:r>
      <w:r>
        <w:t xml:space="preserve">use </w:t>
      </w:r>
      <w:r w:rsidR="00B236BD">
        <w:t>the</w:t>
      </w:r>
      <w:r w:rsidR="00E45C4F">
        <w:t xml:space="preserve"> documents and things designated as “CONFIDENTIAL – SUBJECT TO PROTECTIVE ORDER” or “HIGHLY CONFIDENTIAL – ATTORNEY’S EYES ONLY” that are given to me for purposes of this lawsuit.</w:t>
      </w:r>
    </w:p>
    <w:p w14:paraId="19283638" w14:textId="77777777" w:rsidR="00E45C4F" w:rsidRDefault="00E45C4F" w:rsidP="003A4E08">
      <w:pPr>
        <w:numPr>
          <w:ilvl w:val="0"/>
          <w:numId w:val="16"/>
        </w:numPr>
        <w:spacing w:line="480" w:lineRule="auto"/>
        <w:jc w:val="both"/>
      </w:pPr>
      <w:r>
        <w:t>I promise that</w:t>
      </w:r>
      <w:r w:rsidR="003A4E08">
        <w:t xml:space="preserve"> I will not disclose or discuss information </w:t>
      </w:r>
      <w:r w:rsidR="00B236BD">
        <w:t xml:space="preserve">that I </w:t>
      </w:r>
      <w:r w:rsidR="003A4E08">
        <w:t xml:space="preserve">learn from documents and things designated as “CONFIDENTIAL – SUBJECT TO PROTECTIVE ORDER” or “HIGHLY CONFIDENTIAL – ATTORNEY’S EYES ONLY” </w:t>
      </w:r>
      <w:r w:rsidR="00B236BD">
        <w:t xml:space="preserve">with anyone other than the persons described </w:t>
      </w:r>
      <w:r w:rsidR="003A4E08">
        <w:t xml:space="preserve">in the Protective Order.  </w:t>
      </w:r>
    </w:p>
    <w:p w14:paraId="36B4B60C" w14:textId="77777777" w:rsidR="00E45C4F" w:rsidRDefault="00E45C4F" w:rsidP="003A4E08">
      <w:pPr>
        <w:numPr>
          <w:ilvl w:val="0"/>
          <w:numId w:val="16"/>
        </w:numPr>
        <w:spacing w:line="480" w:lineRule="auto"/>
        <w:jc w:val="both"/>
      </w:pPr>
      <w:r>
        <w:lastRenderedPageBreak/>
        <w:t>I acknowledge that, by signing this agreement, I am subjecting myself to the jurisdiction of the United States District Court for the Eastern District of Michigan with respect to enforcement of this Protective Order.</w:t>
      </w:r>
    </w:p>
    <w:p w14:paraId="4DB8B613" w14:textId="77777777" w:rsidR="003A4E08" w:rsidRDefault="00E45C4F" w:rsidP="00B236BD">
      <w:pPr>
        <w:numPr>
          <w:ilvl w:val="0"/>
          <w:numId w:val="16"/>
        </w:numPr>
        <w:spacing w:line="480" w:lineRule="auto"/>
        <w:jc w:val="both"/>
      </w:pPr>
      <w:r>
        <w:t>I understand that any disclosure or use of documents or things designated as “CONFIDENTIAL – SUBJECT TO PROTECTIVE ORDER” or “HIGHLY CONFIDENTIAL – ATTORNEY’S EYES ONLY,”</w:t>
      </w:r>
      <w:r w:rsidR="003A4E08">
        <w:t xml:space="preserve"> </w:t>
      </w:r>
      <w:r w:rsidR="00B236BD">
        <w:t>or information learned from the documents or things</w:t>
      </w:r>
      <w:r w:rsidR="003A4E08">
        <w:t>, in any manner contrary to the provisions of the Protective Order may subject me to sanctions for contempt of court.</w:t>
      </w:r>
    </w:p>
    <w:p w14:paraId="422DD29D" w14:textId="77777777" w:rsidR="00B236BD" w:rsidRDefault="00B236BD" w:rsidP="00B236BD">
      <w:pPr>
        <w:spacing w:line="480" w:lineRule="auto"/>
        <w:ind w:left="360"/>
        <w:jc w:val="both"/>
      </w:pPr>
    </w:p>
    <w:p w14:paraId="72F5B776" w14:textId="77777777" w:rsidR="003A4E08" w:rsidRDefault="003A4E08" w:rsidP="003A4E08">
      <w:pPr>
        <w:spacing w:line="480" w:lineRule="auto"/>
        <w:ind w:left="720"/>
      </w:pPr>
    </w:p>
    <w:p w14:paraId="578C0F52" w14:textId="77777777" w:rsidR="003A4E08" w:rsidRDefault="003A4E08" w:rsidP="003A4E08">
      <w:pPr>
        <w:ind w:left="720"/>
      </w:pPr>
      <w:r>
        <w:t>Date: ___________</w:t>
      </w:r>
      <w:r>
        <w:tab/>
      </w:r>
      <w:r>
        <w:tab/>
      </w:r>
      <w:r>
        <w:tab/>
        <w:t>____________________________________</w:t>
      </w:r>
    </w:p>
    <w:p w14:paraId="33349488" w14:textId="77777777" w:rsidR="003A4E08" w:rsidRDefault="003A4E08" w:rsidP="003A4E08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[Signature]</w:t>
      </w:r>
    </w:p>
    <w:sectPr w:rsidR="003A4E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CAF9" w14:textId="77777777" w:rsidR="005904B0" w:rsidRDefault="005904B0">
      <w:r>
        <w:separator/>
      </w:r>
    </w:p>
  </w:endnote>
  <w:endnote w:type="continuationSeparator" w:id="0">
    <w:p w14:paraId="20097C04" w14:textId="77777777" w:rsidR="005904B0" w:rsidRDefault="0059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F1307" w14:textId="77777777" w:rsidR="005904B0" w:rsidRDefault="005904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D99F00" w14:textId="77777777" w:rsidR="005904B0" w:rsidRDefault="005904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41E7F" w14:textId="77777777" w:rsidR="005904B0" w:rsidRDefault="005904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1E87">
      <w:rPr>
        <w:rStyle w:val="PageNumber"/>
        <w:noProof/>
      </w:rPr>
      <w:t>4</w:t>
    </w:r>
    <w:r>
      <w:rPr>
        <w:rStyle w:val="PageNumber"/>
      </w:rPr>
      <w:fldChar w:fldCharType="end"/>
    </w:r>
  </w:p>
  <w:p w14:paraId="6722E100" w14:textId="77777777" w:rsidR="005904B0" w:rsidRDefault="005904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82531" w14:textId="77777777" w:rsidR="005904B0" w:rsidRDefault="00590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2F3C9" w14:textId="77777777" w:rsidR="005904B0" w:rsidRDefault="005904B0">
      <w:r>
        <w:separator/>
      </w:r>
    </w:p>
  </w:footnote>
  <w:footnote w:type="continuationSeparator" w:id="0">
    <w:p w14:paraId="423C2F12" w14:textId="77777777" w:rsidR="005904B0" w:rsidRDefault="00590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E5842" w14:textId="77777777" w:rsidR="005904B0" w:rsidRDefault="005904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AF621" w14:textId="77777777" w:rsidR="005904B0" w:rsidRDefault="005904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B49A4" w14:textId="77777777" w:rsidR="005904B0" w:rsidRDefault="005904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66015"/>
    <w:multiLevelType w:val="multilevel"/>
    <w:tmpl w:val="8FD0876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260"/>
        </w:tabs>
        <w:ind w:left="90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260B2C7C"/>
    <w:multiLevelType w:val="hybridMultilevel"/>
    <w:tmpl w:val="DD964C98"/>
    <w:lvl w:ilvl="0" w:tplc="1E2A8E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8E7C71"/>
    <w:multiLevelType w:val="multilevel"/>
    <w:tmpl w:val="CE02ACC2"/>
    <w:lvl w:ilvl="0">
      <w:start w:val="1"/>
      <w:numFmt w:val="upperRoman"/>
      <w:lvlText w:val="%1.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160" w:firstLine="0"/>
      </w:pPr>
      <w:rPr>
        <w:rFonts w:ascii="Times New Roman" w:hAnsi="Times New Roman" w:hint="default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3" w15:restartNumberingAfterBreak="0">
    <w:nsid w:val="3676087A"/>
    <w:multiLevelType w:val="hybridMultilevel"/>
    <w:tmpl w:val="92EC0E82"/>
    <w:lvl w:ilvl="0" w:tplc="3E5EF1F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" w15:restartNumberingAfterBreak="0">
    <w:nsid w:val="3D831DFF"/>
    <w:multiLevelType w:val="multilevel"/>
    <w:tmpl w:val="BF6E631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492F5ED3"/>
    <w:multiLevelType w:val="multilevel"/>
    <w:tmpl w:val="BE80D25A"/>
    <w:lvl w:ilvl="0">
      <w:start w:val="1"/>
      <w:numFmt w:val="upperRoman"/>
      <w:pStyle w:val="Heading1"/>
      <w:lvlText w:val="%1.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880"/>
        </w:tabs>
        <w:ind w:left="2160" w:firstLine="0"/>
      </w:pPr>
      <w:rPr>
        <w:rFonts w:ascii="Times New Roman" w:hAnsi="Times New Roman" w:hint="default"/>
        <w:b/>
        <w:i w:val="0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6" w15:restartNumberingAfterBreak="0">
    <w:nsid w:val="558C2860"/>
    <w:multiLevelType w:val="hybridMultilevel"/>
    <w:tmpl w:val="0BF8973C"/>
    <w:lvl w:ilvl="0" w:tplc="573C23E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E88B6A8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90266F"/>
    <w:multiLevelType w:val="multilevel"/>
    <w:tmpl w:val="4704D848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639F12BE"/>
    <w:multiLevelType w:val="multilevel"/>
    <w:tmpl w:val="0409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 w15:restartNumberingAfterBreak="0">
    <w:nsid w:val="70C466CC"/>
    <w:multiLevelType w:val="multilevel"/>
    <w:tmpl w:val="4030DB48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0" w15:restartNumberingAfterBreak="0">
    <w:nsid w:val="77542C46"/>
    <w:multiLevelType w:val="multilevel"/>
    <w:tmpl w:val="76E0FD34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7B094FD4"/>
    <w:multiLevelType w:val="multilevel"/>
    <w:tmpl w:val="F0D80EA6"/>
    <w:lvl w:ilvl="0">
      <w:start w:val="1"/>
      <w:numFmt w:val="upperRoman"/>
      <w:lvlText w:val="%1.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160" w:firstLine="0"/>
      </w:pPr>
      <w:rPr>
        <w:rFonts w:ascii="Times New Roman" w:hAnsi="Times New Roman" w:hint="default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12" w15:restartNumberingAfterBreak="0">
    <w:nsid w:val="7BC055AC"/>
    <w:multiLevelType w:val="multilevel"/>
    <w:tmpl w:val="7AAE0290"/>
    <w:lvl w:ilvl="0">
      <w:start w:val="1"/>
      <w:numFmt w:val="upperRoman"/>
      <w:lvlText w:val="%1.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160" w:firstLine="0"/>
      </w:pPr>
      <w:rPr>
        <w:rFonts w:ascii="Times New Roman" w:hAnsi="Times New Roman" w:hint="default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10"/>
  </w:num>
  <w:num w:numId="7">
    <w:abstractNumId w:val="7"/>
  </w:num>
  <w:num w:numId="8">
    <w:abstractNumId w:val="9"/>
  </w:num>
  <w:num w:numId="9">
    <w:abstractNumId w:val="4"/>
  </w:num>
  <w:num w:numId="10">
    <w:abstractNumId w:val="11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698"/>
    <w:rsid w:val="000070CB"/>
    <w:rsid w:val="000413EE"/>
    <w:rsid w:val="00044E1A"/>
    <w:rsid w:val="00047E9B"/>
    <w:rsid w:val="00073E34"/>
    <w:rsid w:val="000B2850"/>
    <w:rsid w:val="000B5971"/>
    <w:rsid w:val="000C5493"/>
    <w:rsid w:val="000E47D6"/>
    <w:rsid w:val="0010152E"/>
    <w:rsid w:val="0013286C"/>
    <w:rsid w:val="001C2710"/>
    <w:rsid w:val="001D714D"/>
    <w:rsid w:val="001E3E4B"/>
    <w:rsid w:val="00262FF6"/>
    <w:rsid w:val="00284BFD"/>
    <w:rsid w:val="002E1B6D"/>
    <w:rsid w:val="002E44EE"/>
    <w:rsid w:val="002F6353"/>
    <w:rsid w:val="0035157D"/>
    <w:rsid w:val="00387698"/>
    <w:rsid w:val="003A4E08"/>
    <w:rsid w:val="003E1462"/>
    <w:rsid w:val="003E223A"/>
    <w:rsid w:val="00450EC2"/>
    <w:rsid w:val="004772C7"/>
    <w:rsid w:val="004821D4"/>
    <w:rsid w:val="004A71CC"/>
    <w:rsid w:val="004B056F"/>
    <w:rsid w:val="004E038C"/>
    <w:rsid w:val="0053302C"/>
    <w:rsid w:val="005443B0"/>
    <w:rsid w:val="005565E4"/>
    <w:rsid w:val="005904B0"/>
    <w:rsid w:val="00595C5C"/>
    <w:rsid w:val="005D3BAD"/>
    <w:rsid w:val="005F1452"/>
    <w:rsid w:val="00600BA0"/>
    <w:rsid w:val="00605219"/>
    <w:rsid w:val="006313B5"/>
    <w:rsid w:val="006313C2"/>
    <w:rsid w:val="00645468"/>
    <w:rsid w:val="006526EA"/>
    <w:rsid w:val="00674C5C"/>
    <w:rsid w:val="006A4593"/>
    <w:rsid w:val="006B514F"/>
    <w:rsid w:val="007370A6"/>
    <w:rsid w:val="00833B42"/>
    <w:rsid w:val="00866940"/>
    <w:rsid w:val="00874769"/>
    <w:rsid w:val="0088208A"/>
    <w:rsid w:val="008B22C9"/>
    <w:rsid w:val="008C6992"/>
    <w:rsid w:val="008D1DC4"/>
    <w:rsid w:val="008F1E87"/>
    <w:rsid w:val="008F64AC"/>
    <w:rsid w:val="00903692"/>
    <w:rsid w:val="009245E1"/>
    <w:rsid w:val="00960469"/>
    <w:rsid w:val="009741B0"/>
    <w:rsid w:val="009A6962"/>
    <w:rsid w:val="00A02DD8"/>
    <w:rsid w:val="00A81545"/>
    <w:rsid w:val="00A849D6"/>
    <w:rsid w:val="00A95B4E"/>
    <w:rsid w:val="00AE3CE9"/>
    <w:rsid w:val="00B0128E"/>
    <w:rsid w:val="00B236BD"/>
    <w:rsid w:val="00B3049B"/>
    <w:rsid w:val="00B92EEE"/>
    <w:rsid w:val="00BA6FD8"/>
    <w:rsid w:val="00BB4015"/>
    <w:rsid w:val="00BC08D2"/>
    <w:rsid w:val="00BC57E6"/>
    <w:rsid w:val="00BD1476"/>
    <w:rsid w:val="00BF52F3"/>
    <w:rsid w:val="00C369E6"/>
    <w:rsid w:val="00C82B31"/>
    <w:rsid w:val="00C938D9"/>
    <w:rsid w:val="00CA58EE"/>
    <w:rsid w:val="00CB0CBC"/>
    <w:rsid w:val="00CB32C2"/>
    <w:rsid w:val="00CB6A21"/>
    <w:rsid w:val="00CF38B7"/>
    <w:rsid w:val="00D2123B"/>
    <w:rsid w:val="00D2253C"/>
    <w:rsid w:val="00D4090B"/>
    <w:rsid w:val="00D876AA"/>
    <w:rsid w:val="00DA1211"/>
    <w:rsid w:val="00E45C4F"/>
    <w:rsid w:val="00E61798"/>
    <w:rsid w:val="00E63669"/>
    <w:rsid w:val="00E65488"/>
    <w:rsid w:val="00E70D5D"/>
    <w:rsid w:val="00E9018A"/>
    <w:rsid w:val="00E94525"/>
    <w:rsid w:val="00F01AAD"/>
    <w:rsid w:val="00F1109A"/>
    <w:rsid w:val="00F44C75"/>
    <w:rsid w:val="00F72EB8"/>
    <w:rsid w:val="00F91BFE"/>
    <w:rsid w:val="00FA2977"/>
    <w:rsid w:val="00FC0663"/>
    <w:rsid w:val="00FC4B27"/>
    <w:rsid w:val="00FF0DAC"/>
    <w:rsid w:val="00FF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04F7DD"/>
  <w15:chartTrackingRefBased/>
  <w15:docId w15:val="{F726041E-FD7A-4D69-A9BF-F3DA21ED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3"/>
      </w:numPr>
      <w:spacing w:before="120" w:after="12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spacing w:line="480" w:lineRule="auto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pPr>
      <w:numPr>
        <w:ilvl w:val="2"/>
        <w:numId w:val="3"/>
      </w:numPr>
      <w:spacing w:line="48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480" w:lineRule="auto"/>
      <w:ind w:firstLine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284BFD"/>
    <w:pPr>
      <w:spacing w:after="120"/>
    </w:pPr>
  </w:style>
  <w:style w:type="paragraph" w:styleId="Header">
    <w:name w:val="header"/>
    <w:basedOn w:val="Normal"/>
    <w:link w:val="HeaderChar"/>
    <w:rsid w:val="008820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8208A"/>
    <w:rPr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A02D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02DD8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1262</Words>
  <Characters>7297</Characters>
  <Application>Microsoft Office Word</Application>
  <DocSecurity>4</DocSecurity>
  <PresentationFormat>11|.DOC</PresentationFormat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GoldsmithDefaultProtectiveOrder.DOC</vt:lpstr>
    </vt:vector>
  </TitlesOfParts>
  <Company>Young and Basile, PC</Company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GoldsmithDefaultProtectiveOrder.DOC</dc:title>
  <dc:subject/>
  <dc:creator>cgdarrow</dc:creator>
  <cp:keywords/>
  <cp:lastModifiedBy>Amanda Chubb</cp:lastModifiedBy>
  <cp:revision>2</cp:revision>
  <cp:lastPrinted>2021-02-17T23:51:00Z</cp:lastPrinted>
  <dcterms:created xsi:type="dcterms:W3CDTF">2021-02-18T15:43:00Z</dcterms:created>
  <dcterms:modified xsi:type="dcterms:W3CDTF">2021-02-18T15:43:00Z</dcterms:modified>
</cp:coreProperties>
</file>