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0C9A3" w14:textId="77777777" w:rsidR="00826A07" w:rsidRPr="00E813BF" w:rsidRDefault="00826A07">
      <w:pPr>
        <w:jc w:val="center"/>
        <w:rPr>
          <w:b/>
          <w:sz w:val="28"/>
          <w:szCs w:val="28"/>
        </w:rPr>
      </w:pPr>
      <w:r w:rsidRPr="00E813BF">
        <w:rPr>
          <w:b/>
          <w:sz w:val="28"/>
          <w:szCs w:val="28"/>
        </w:rPr>
        <w:t>UNITED STATES DISTRICT COURT</w:t>
      </w:r>
    </w:p>
    <w:p w14:paraId="4CD43713" w14:textId="77777777" w:rsidR="00826A07" w:rsidRPr="00E813BF" w:rsidRDefault="00826A07">
      <w:pPr>
        <w:jc w:val="center"/>
        <w:rPr>
          <w:b/>
          <w:sz w:val="28"/>
          <w:szCs w:val="28"/>
        </w:rPr>
      </w:pPr>
      <w:r w:rsidRPr="00E813BF">
        <w:rPr>
          <w:b/>
          <w:sz w:val="28"/>
          <w:szCs w:val="28"/>
        </w:rPr>
        <w:t>EASTERN DISTRICT OF MICHIGAN</w:t>
      </w:r>
    </w:p>
    <w:p w14:paraId="0451AAF9" w14:textId="77777777" w:rsidR="00826A07" w:rsidRPr="00E813BF" w:rsidRDefault="00826A07">
      <w:pPr>
        <w:jc w:val="center"/>
        <w:rPr>
          <w:b/>
          <w:sz w:val="28"/>
          <w:szCs w:val="28"/>
        </w:rPr>
      </w:pPr>
      <w:r w:rsidRPr="00E813BF">
        <w:rPr>
          <w:b/>
          <w:sz w:val="28"/>
          <w:szCs w:val="28"/>
        </w:rPr>
        <w:t>SOUTHERN DIVISION</w:t>
      </w:r>
    </w:p>
    <w:p w14:paraId="4C18C87B" w14:textId="77777777" w:rsidR="00826A07" w:rsidRPr="00E813BF" w:rsidRDefault="00826A07">
      <w:pPr>
        <w:jc w:val="center"/>
        <w:rPr>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A80C29" w:rsidRPr="00314DBD" w14:paraId="74E3DED5" w14:textId="77777777" w:rsidTr="00E90DD2">
        <w:tc>
          <w:tcPr>
            <w:tcW w:w="4675" w:type="dxa"/>
          </w:tcPr>
          <w:p w14:paraId="7500A7B9" w14:textId="77777777" w:rsidR="00A80C29" w:rsidRPr="00314DBD" w:rsidRDefault="00A80C29" w:rsidP="00E90DD2">
            <w:pPr>
              <w:rPr>
                <w:sz w:val="28"/>
                <w:szCs w:val="28"/>
              </w:rPr>
            </w:pPr>
          </w:p>
          <w:p w14:paraId="352F5E0B" w14:textId="77777777" w:rsidR="00A80C29" w:rsidRPr="00314DBD" w:rsidRDefault="00A80C29" w:rsidP="00E90DD2">
            <w:pPr>
              <w:rPr>
                <w:sz w:val="28"/>
                <w:szCs w:val="28"/>
              </w:rPr>
            </w:pPr>
            <w:r w:rsidRPr="00314DBD">
              <w:rPr>
                <w:sz w:val="28"/>
                <w:szCs w:val="28"/>
              </w:rPr>
              <w:t>[PARTY NAME],</w:t>
            </w:r>
          </w:p>
          <w:p w14:paraId="75378CF5" w14:textId="77777777" w:rsidR="00A80C29" w:rsidRPr="00314DBD" w:rsidRDefault="00A80C29" w:rsidP="00E90DD2">
            <w:pPr>
              <w:rPr>
                <w:sz w:val="28"/>
                <w:szCs w:val="28"/>
              </w:rPr>
            </w:pPr>
          </w:p>
          <w:p w14:paraId="6F277F59" w14:textId="77777777" w:rsidR="00A80C29" w:rsidRPr="00314DBD" w:rsidRDefault="00A80C29" w:rsidP="00E90DD2">
            <w:pPr>
              <w:rPr>
                <w:sz w:val="28"/>
                <w:szCs w:val="28"/>
              </w:rPr>
            </w:pPr>
            <w:r w:rsidRPr="00314DBD">
              <w:rPr>
                <w:sz w:val="28"/>
                <w:szCs w:val="28"/>
              </w:rPr>
              <w:t>Plaintiff,</w:t>
            </w:r>
          </w:p>
          <w:p w14:paraId="594D6C59" w14:textId="77777777" w:rsidR="00A80C29" w:rsidRPr="00314DBD" w:rsidRDefault="00A80C29" w:rsidP="00E90DD2">
            <w:pPr>
              <w:rPr>
                <w:sz w:val="28"/>
                <w:szCs w:val="28"/>
              </w:rPr>
            </w:pPr>
          </w:p>
          <w:p w14:paraId="0A426548" w14:textId="77777777" w:rsidR="00A80C29" w:rsidRPr="00314DBD" w:rsidRDefault="00A80C29" w:rsidP="00E90DD2">
            <w:pPr>
              <w:rPr>
                <w:sz w:val="28"/>
                <w:szCs w:val="28"/>
              </w:rPr>
            </w:pPr>
            <w:r w:rsidRPr="00314DBD">
              <w:rPr>
                <w:sz w:val="28"/>
                <w:szCs w:val="28"/>
              </w:rPr>
              <w:t>vs.</w:t>
            </w:r>
          </w:p>
          <w:p w14:paraId="3034318E" w14:textId="77777777" w:rsidR="00A80C29" w:rsidRPr="00314DBD" w:rsidRDefault="00A80C29" w:rsidP="00E90DD2">
            <w:pPr>
              <w:rPr>
                <w:sz w:val="28"/>
                <w:szCs w:val="28"/>
              </w:rPr>
            </w:pPr>
          </w:p>
          <w:p w14:paraId="5D5DE97A" w14:textId="77777777" w:rsidR="00A80C29" w:rsidRPr="00314DBD" w:rsidRDefault="00A80C29" w:rsidP="00E90DD2">
            <w:pPr>
              <w:rPr>
                <w:sz w:val="28"/>
                <w:szCs w:val="28"/>
              </w:rPr>
            </w:pPr>
            <w:r w:rsidRPr="00314DBD">
              <w:rPr>
                <w:sz w:val="28"/>
                <w:szCs w:val="28"/>
              </w:rPr>
              <w:t>[PARTY NAME],</w:t>
            </w:r>
          </w:p>
          <w:p w14:paraId="76D2E5CD" w14:textId="77777777" w:rsidR="00A80C29" w:rsidRPr="00314DBD" w:rsidRDefault="00A80C29" w:rsidP="00E90DD2">
            <w:pPr>
              <w:rPr>
                <w:sz w:val="28"/>
                <w:szCs w:val="28"/>
              </w:rPr>
            </w:pPr>
          </w:p>
          <w:p w14:paraId="13C6ECAD" w14:textId="77777777" w:rsidR="00A80C29" w:rsidRPr="00314DBD" w:rsidRDefault="00A80C29" w:rsidP="00E90DD2">
            <w:pPr>
              <w:rPr>
                <w:sz w:val="28"/>
                <w:szCs w:val="28"/>
              </w:rPr>
            </w:pPr>
            <w:r w:rsidRPr="00314DBD">
              <w:rPr>
                <w:sz w:val="28"/>
                <w:szCs w:val="28"/>
              </w:rPr>
              <w:t>Defendant.</w:t>
            </w:r>
          </w:p>
          <w:p w14:paraId="51725E6C" w14:textId="77777777" w:rsidR="00A80C29" w:rsidRPr="00314DBD" w:rsidRDefault="00A80C29" w:rsidP="00E90DD2">
            <w:pPr>
              <w:rPr>
                <w:sz w:val="28"/>
                <w:szCs w:val="28"/>
              </w:rPr>
            </w:pPr>
          </w:p>
        </w:tc>
        <w:tc>
          <w:tcPr>
            <w:tcW w:w="4675" w:type="dxa"/>
            <w:vAlign w:val="center"/>
          </w:tcPr>
          <w:p w14:paraId="2B9D2A34" w14:textId="77777777" w:rsidR="00A80C29" w:rsidRPr="00314DBD" w:rsidRDefault="00A80C29" w:rsidP="00E90DD2">
            <w:pPr>
              <w:rPr>
                <w:sz w:val="28"/>
                <w:szCs w:val="28"/>
              </w:rPr>
            </w:pPr>
            <w:r w:rsidRPr="00314DBD">
              <w:rPr>
                <w:sz w:val="28"/>
                <w:szCs w:val="28"/>
              </w:rPr>
              <w:t>Case No.: [CASE NUMBER]</w:t>
            </w:r>
          </w:p>
          <w:p w14:paraId="4768E5FB" w14:textId="77777777" w:rsidR="00A80C29" w:rsidRPr="00314DBD" w:rsidRDefault="00A80C29" w:rsidP="00E90DD2">
            <w:pPr>
              <w:rPr>
                <w:sz w:val="28"/>
                <w:szCs w:val="28"/>
              </w:rPr>
            </w:pPr>
          </w:p>
          <w:p w14:paraId="1E4BA6E7" w14:textId="77777777" w:rsidR="00A80C29" w:rsidRPr="00314DBD" w:rsidRDefault="00A80C29" w:rsidP="00E90DD2">
            <w:pPr>
              <w:rPr>
                <w:sz w:val="28"/>
                <w:szCs w:val="28"/>
              </w:rPr>
            </w:pPr>
            <w:r w:rsidRPr="00314DBD">
              <w:rPr>
                <w:sz w:val="28"/>
                <w:szCs w:val="28"/>
              </w:rPr>
              <w:t>Honorable [NAME]</w:t>
            </w:r>
          </w:p>
          <w:p w14:paraId="574EA1CA" w14:textId="77777777" w:rsidR="00A80C29" w:rsidRPr="00314DBD" w:rsidRDefault="00A80C29" w:rsidP="00E90DD2">
            <w:pPr>
              <w:rPr>
                <w:sz w:val="28"/>
                <w:szCs w:val="28"/>
              </w:rPr>
            </w:pPr>
          </w:p>
          <w:p w14:paraId="50791E98" w14:textId="77777777" w:rsidR="00A80C29" w:rsidRDefault="00A80C29" w:rsidP="00E90DD2">
            <w:pPr>
              <w:rPr>
                <w:sz w:val="28"/>
                <w:szCs w:val="28"/>
              </w:rPr>
            </w:pPr>
            <w:r w:rsidRPr="00314DBD">
              <w:rPr>
                <w:sz w:val="28"/>
                <w:szCs w:val="28"/>
              </w:rPr>
              <w:t>Magistrate Judge [NAME]</w:t>
            </w:r>
          </w:p>
          <w:p w14:paraId="3CF15E73" w14:textId="77777777" w:rsidR="00E6500A" w:rsidRDefault="00E6500A" w:rsidP="00E90DD2">
            <w:pPr>
              <w:rPr>
                <w:sz w:val="28"/>
                <w:szCs w:val="28"/>
              </w:rPr>
            </w:pPr>
          </w:p>
          <w:p w14:paraId="7D064722" w14:textId="1015343F" w:rsidR="00E6500A" w:rsidRPr="00314DBD" w:rsidRDefault="00E6500A" w:rsidP="00E90DD2">
            <w:pPr>
              <w:rPr>
                <w:sz w:val="28"/>
                <w:szCs w:val="28"/>
              </w:rPr>
            </w:pPr>
          </w:p>
        </w:tc>
      </w:tr>
    </w:tbl>
    <w:p w14:paraId="62A5BFEF" w14:textId="0ABFA735" w:rsidR="007C3BBF" w:rsidRDefault="007C3BBF">
      <w:pPr>
        <w:jc w:val="both"/>
        <w:rPr>
          <w:sz w:val="28"/>
          <w:szCs w:val="28"/>
        </w:rPr>
      </w:pPr>
    </w:p>
    <w:p w14:paraId="008385FD" w14:textId="77777777" w:rsidR="00A80C29" w:rsidRPr="00314DBD" w:rsidRDefault="00A80C29" w:rsidP="00A80C29">
      <w:pPr>
        <w:jc w:val="both"/>
        <w:rPr>
          <w:sz w:val="28"/>
          <w:szCs w:val="28"/>
        </w:rPr>
      </w:pPr>
    </w:p>
    <w:p w14:paraId="50B7E073" w14:textId="3758E253" w:rsidR="00A80C29" w:rsidRPr="00314DBD" w:rsidRDefault="00A80C29" w:rsidP="00A80C29">
      <w:pPr>
        <w:spacing w:after="280"/>
        <w:jc w:val="center"/>
        <w:rPr>
          <w:b/>
          <w:sz w:val="28"/>
          <w:szCs w:val="28"/>
        </w:rPr>
      </w:pPr>
      <w:r w:rsidRPr="00961A93">
        <w:rPr>
          <w:b/>
          <w:sz w:val="28"/>
          <w:szCs w:val="28"/>
        </w:rPr>
        <w:t>NOTICE AND ORDER SETTING</w:t>
      </w:r>
      <w:r>
        <w:rPr>
          <w:b/>
          <w:sz w:val="28"/>
          <w:szCs w:val="28"/>
        </w:rPr>
        <w:t xml:space="preserve"> </w:t>
      </w:r>
      <w:r w:rsidRPr="00961A93">
        <w:rPr>
          <w:b/>
          <w:sz w:val="28"/>
          <w:szCs w:val="28"/>
        </w:rPr>
        <w:t>SCHEDULING CONFERENCE IN</w:t>
      </w:r>
      <w:r w:rsidR="00EB2AD4">
        <w:rPr>
          <w:b/>
          <w:sz w:val="28"/>
          <w:szCs w:val="28"/>
        </w:rPr>
        <w:t xml:space="preserve"> </w:t>
      </w:r>
      <w:r w:rsidRPr="00961A93">
        <w:rPr>
          <w:b/>
          <w:sz w:val="28"/>
          <w:szCs w:val="28"/>
        </w:rPr>
        <w:t>PATENT INFRINGEMENT CASE</w:t>
      </w:r>
    </w:p>
    <w:p w14:paraId="6F5E1889" w14:textId="610CDD0A" w:rsidR="00EB2AD4" w:rsidRDefault="00EB2AD4" w:rsidP="00A80C29">
      <w:pPr>
        <w:spacing w:line="480" w:lineRule="auto"/>
        <w:ind w:firstLine="720"/>
        <w:jc w:val="both"/>
        <w:rPr>
          <w:sz w:val="28"/>
          <w:szCs w:val="28"/>
        </w:rPr>
      </w:pPr>
      <w:r w:rsidRPr="00EB2AD4">
        <w:rPr>
          <w:sz w:val="28"/>
          <w:szCs w:val="28"/>
        </w:rPr>
        <w:t xml:space="preserve">Counsel are hereby notified to appear on </w:t>
      </w:r>
      <w:r>
        <w:rPr>
          <w:sz w:val="28"/>
          <w:szCs w:val="28"/>
        </w:rPr>
        <w:t>[</w:t>
      </w:r>
      <w:r w:rsidRPr="00EB2AD4">
        <w:rPr>
          <w:sz w:val="28"/>
          <w:szCs w:val="28"/>
        </w:rPr>
        <w:t>DATE</w:t>
      </w:r>
      <w:r>
        <w:rPr>
          <w:sz w:val="28"/>
          <w:szCs w:val="28"/>
        </w:rPr>
        <w:t>]</w:t>
      </w:r>
      <w:r w:rsidRPr="00EB2AD4">
        <w:rPr>
          <w:sz w:val="28"/>
          <w:szCs w:val="28"/>
        </w:rPr>
        <w:t xml:space="preserve"> at </w:t>
      </w:r>
      <w:r>
        <w:rPr>
          <w:sz w:val="28"/>
          <w:szCs w:val="28"/>
        </w:rPr>
        <w:t>[</w:t>
      </w:r>
      <w:r w:rsidRPr="00EB2AD4">
        <w:rPr>
          <w:sz w:val="28"/>
          <w:szCs w:val="28"/>
        </w:rPr>
        <w:t>TIME</w:t>
      </w:r>
      <w:r>
        <w:rPr>
          <w:sz w:val="28"/>
          <w:szCs w:val="28"/>
        </w:rPr>
        <w:t>]</w:t>
      </w:r>
      <w:r w:rsidRPr="00EB2AD4">
        <w:rPr>
          <w:sz w:val="28"/>
          <w:szCs w:val="28"/>
        </w:rPr>
        <w:t xml:space="preserve"> in the Chambers of Judge </w:t>
      </w:r>
      <w:r>
        <w:rPr>
          <w:sz w:val="28"/>
          <w:szCs w:val="28"/>
        </w:rPr>
        <w:t>[</w:t>
      </w:r>
      <w:r w:rsidRPr="00EB2AD4">
        <w:rPr>
          <w:sz w:val="28"/>
          <w:szCs w:val="28"/>
        </w:rPr>
        <w:t>NAME</w:t>
      </w:r>
      <w:r>
        <w:rPr>
          <w:sz w:val="28"/>
          <w:szCs w:val="28"/>
        </w:rPr>
        <w:t>]</w:t>
      </w:r>
      <w:r w:rsidRPr="00EB2AD4">
        <w:rPr>
          <w:sz w:val="28"/>
          <w:szCs w:val="28"/>
        </w:rPr>
        <w:t xml:space="preserve">, Room </w:t>
      </w:r>
      <w:r>
        <w:rPr>
          <w:sz w:val="28"/>
          <w:szCs w:val="28"/>
        </w:rPr>
        <w:t>[</w:t>
      </w:r>
      <w:r w:rsidRPr="00EB2AD4">
        <w:rPr>
          <w:sz w:val="28"/>
          <w:szCs w:val="28"/>
        </w:rPr>
        <w:t>NUMBER</w:t>
      </w:r>
      <w:r>
        <w:rPr>
          <w:sz w:val="28"/>
          <w:szCs w:val="28"/>
        </w:rPr>
        <w:t>]</w:t>
      </w:r>
      <w:r w:rsidRPr="00EB2AD4">
        <w:rPr>
          <w:sz w:val="28"/>
          <w:szCs w:val="28"/>
        </w:rPr>
        <w:t>, Theodore Levin U.S. Courthouse, 231 West Lafayette, Detroit, Michigan for a Scheduling Conference in the above-referenced action</w:t>
      </w:r>
      <w:r>
        <w:rPr>
          <w:sz w:val="28"/>
          <w:szCs w:val="28"/>
        </w:rPr>
        <w:t xml:space="preserve">. </w:t>
      </w:r>
    </w:p>
    <w:p w14:paraId="3938CE06" w14:textId="58AF2F0D" w:rsidR="00961A93" w:rsidRPr="00961A93" w:rsidRDefault="00961A93" w:rsidP="00961A93">
      <w:pPr>
        <w:spacing w:line="480" w:lineRule="auto"/>
        <w:ind w:firstLine="720"/>
        <w:jc w:val="both"/>
        <w:rPr>
          <w:sz w:val="28"/>
          <w:szCs w:val="28"/>
        </w:rPr>
      </w:pPr>
      <w:r w:rsidRPr="00961A93">
        <w:rPr>
          <w:sz w:val="28"/>
          <w:szCs w:val="28"/>
        </w:rPr>
        <w:t>The Court further ORDERS as follows:</w:t>
      </w:r>
    </w:p>
    <w:p w14:paraId="4FE36256" w14:textId="26130F83" w:rsidR="00961A93" w:rsidRDefault="00961A93" w:rsidP="00961A93">
      <w:pPr>
        <w:pStyle w:val="ListParagraph"/>
        <w:numPr>
          <w:ilvl w:val="0"/>
          <w:numId w:val="16"/>
        </w:numPr>
        <w:spacing w:line="480" w:lineRule="auto"/>
        <w:ind w:left="0" w:firstLine="720"/>
        <w:jc w:val="both"/>
        <w:rPr>
          <w:sz w:val="28"/>
          <w:szCs w:val="28"/>
        </w:rPr>
      </w:pPr>
      <w:r w:rsidRPr="00961A93">
        <w:rPr>
          <w:sz w:val="28"/>
          <w:szCs w:val="28"/>
        </w:rPr>
        <w:t>MODEL RULE 26(</w:t>
      </w:r>
      <w:r w:rsidR="00EB2AD4">
        <w:rPr>
          <w:sz w:val="28"/>
          <w:szCs w:val="28"/>
        </w:rPr>
        <w:t>f</w:t>
      </w:r>
      <w:r w:rsidRPr="00961A93">
        <w:rPr>
          <w:sz w:val="28"/>
          <w:szCs w:val="28"/>
        </w:rPr>
        <w:t xml:space="preserve">) REPORT AND SCHEDULING ORDER: In order to efficiently manage patent infringement cases, this Court has adopted a Model Rule 26(f) Report and Proposed Scheduling Order, a copy of which is attached to this Notice and Order. The Court intends that the </w:t>
      </w:r>
      <w:r w:rsidR="00EB2AD4">
        <w:rPr>
          <w:sz w:val="28"/>
          <w:szCs w:val="28"/>
        </w:rPr>
        <w:t>M</w:t>
      </w:r>
      <w:r w:rsidRPr="00961A93">
        <w:rPr>
          <w:sz w:val="28"/>
          <w:szCs w:val="28"/>
        </w:rPr>
        <w:t xml:space="preserve">odel </w:t>
      </w:r>
      <w:r w:rsidR="00EB2AD4">
        <w:rPr>
          <w:sz w:val="28"/>
          <w:szCs w:val="28"/>
        </w:rPr>
        <w:t>S</w:t>
      </w:r>
      <w:r w:rsidRPr="00961A93">
        <w:rPr>
          <w:sz w:val="28"/>
          <w:szCs w:val="28"/>
        </w:rPr>
        <w:t xml:space="preserve">cheduling </w:t>
      </w:r>
      <w:r w:rsidR="00EB2AD4">
        <w:rPr>
          <w:sz w:val="28"/>
          <w:szCs w:val="28"/>
        </w:rPr>
        <w:t>O</w:t>
      </w:r>
      <w:r w:rsidRPr="00961A93">
        <w:rPr>
          <w:sz w:val="28"/>
          <w:szCs w:val="28"/>
        </w:rPr>
        <w:t xml:space="preserve">rder guide the parties in the types of provisions and the timeline that the parties should </w:t>
      </w:r>
      <w:r w:rsidRPr="00961A93">
        <w:rPr>
          <w:sz w:val="28"/>
          <w:szCs w:val="28"/>
        </w:rPr>
        <w:lastRenderedPageBreak/>
        <w:t xml:space="preserve">propose to the Court as their discovery plan pursuant to Rule 26(f) of the Federal Rules of Civil Procedure. The </w:t>
      </w:r>
      <w:r w:rsidR="00EB2AD4">
        <w:rPr>
          <w:sz w:val="28"/>
          <w:szCs w:val="28"/>
        </w:rPr>
        <w:t xml:space="preserve">Model Scheduling Order </w:t>
      </w:r>
      <w:r w:rsidRPr="00961A93">
        <w:rPr>
          <w:sz w:val="28"/>
          <w:szCs w:val="28"/>
        </w:rPr>
        <w:t xml:space="preserve">schedules the typical patent infringement case for trial approximately </w:t>
      </w:r>
      <w:r w:rsidR="00EB2AD4">
        <w:rPr>
          <w:sz w:val="28"/>
          <w:szCs w:val="28"/>
        </w:rPr>
        <w:t xml:space="preserve">20.5 </w:t>
      </w:r>
      <w:r w:rsidRPr="00961A93">
        <w:rPr>
          <w:sz w:val="28"/>
          <w:szCs w:val="28"/>
        </w:rPr>
        <w:t xml:space="preserve">months after the Scheduling Conference. The parties may propose modifications and additional provisions to the </w:t>
      </w:r>
      <w:r w:rsidR="00EB2AD4">
        <w:rPr>
          <w:sz w:val="28"/>
          <w:szCs w:val="28"/>
        </w:rPr>
        <w:t>M</w:t>
      </w:r>
      <w:r w:rsidRPr="00961A93">
        <w:rPr>
          <w:sz w:val="28"/>
          <w:szCs w:val="28"/>
        </w:rPr>
        <w:t xml:space="preserve">odel </w:t>
      </w:r>
      <w:r w:rsidR="00EB2AD4">
        <w:rPr>
          <w:sz w:val="28"/>
          <w:szCs w:val="28"/>
        </w:rPr>
        <w:t>S</w:t>
      </w:r>
      <w:r w:rsidRPr="00961A93">
        <w:rPr>
          <w:sz w:val="28"/>
          <w:szCs w:val="28"/>
        </w:rPr>
        <w:t xml:space="preserve">cheduling </w:t>
      </w:r>
      <w:r w:rsidR="00EB2AD4">
        <w:rPr>
          <w:sz w:val="28"/>
          <w:szCs w:val="28"/>
        </w:rPr>
        <w:t>O</w:t>
      </w:r>
      <w:r w:rsidRPr="00961A93">
        <w:rPr>
          <w:sz w:val="28"/>
          <w:szCs w:val="28"/>
        </w:rPr>
        <w:t>rder and/or may propose an alternative timeline, as needed based upon the facts and circumstances of the particular case.</w:t>
      </w:r>
    </w:p>
    <w:p w14:paraId="30E9143C" w14:textId="701AE878" w:rsidR="0021357B" w:rsidRPr="0021357B" w:rsidRDefault="00961A93" w:rsidP="0021357B">
      <w:pPr>
        <w:pStyle w:val="ListParagraph"/>
        <w:numPr>
          <w:ilvl w:val="0"/>
          <w:numId w:val="16"/>
        </w:numPr>
        <w:spacing w:line="480" w:lineRule="auto"/>
        <w:ind w:left="0" w:firstLine="720"/>
        <w:jc w:val="both"/>
        <w:rPr>
          <w:sz w:val="28"/>
          <w:szCs w:val="28"/>
        </w:rPr>
      </w:pPr>
      <w:r w:rsidRPr="00961A93">
        <w:rPr>
          <w:sz w:val="28"/>
          <w:szCs w:val="28"/>
        </w:rPr>
        <w:t xml:space="preserve">USE OF A SPECIAL MASTER: At the Scheduling Conference, the parties should be prepared to discuss the potential use of a special master </w:t>
      </w:r>
      <w:r w:rsidR="00EB2AD4">
        <w:rPr>
          <w:sz w:val="28"/>
          <w:szCs w:val="28"/>
        </w:rPr>
        <w:t xml:space="preserve">(also known as a </w:t>
      </w:r>
      <w:r w:rsidRPr="00961A93">
        <w:rPr>
          <w:sz w:val="28"/>
          <w:szCs w:val="28"/>
        </w:rPr>
        <w:t>technical advisor</w:t>
      </w:r>
      <w:r w:rsidR="00EB2AD4">
        <w:rPr>
          <w:sz w:val="28"/>
          <w:szCs w:val="28"/>
        </w:rPr>
        <w:t>)</w:t>
      </w:r>
      <w:r w:rsidRPr="00961A93">
        <w:rPr>
          <w:sz w:val="28"/>
          <w:szCs w:val="28"/>
        </w:rPr>
        <w:t xml:space="preserve"> in this case.</w:t>
      </w:r>
      <w:r w:rsidR="0021357B">
        <w:rPr>
          <w:sz w:val="28"/>
          <w:szCs w:val="28"/>
        </w:rPr>
        <w:t xml:space="preserve"> </w:t>
      </w:r>
      <w:r w:rsidR="0021357B" w:rsidRPr="0021357B">
        <w:rPr>
          <w:sz w:val="28"/>
          <w:szCs w:val="28"/>
        </w:rPr>
        <w:t xml:space="preserve">The </w:t>
      </w:r>
      <w:r w:rsidR="0021357B">
        <w:rPr>
          <w:sz w:val="28"/>
          <w:szCs w:val="28"/>
        </w:rPr>
        <w:t>C</w:t>
      </w:r>
      <w:r w:rsidR="0021357B" w:rsidRPr="0021357B">
        <w:rPr>
          <w:sz w:val="28"/>
          <w:szCs w:val="28"/>
        </w:rPr>
        <w:t xml:space="preserve">ourt </w:t>
      </w:r>
      <w:r w:rsidR="0021357B">
        <w:rPr>
          <w:sz w:val="28"/>
          <w:szCs w:val="28"/>
        </w:rPr>
        <w:t xml:space="preserve">typically finds </w:t>
      </w:r>
      <w:r w:rsidR="0021357B" w:rsidRPr="0021357B">
        <w:rPr>
          <w:sz w:val="28"/>
          <w:szCs w:val="28"/>
        </w:rPr>
        <w:t xml:space="preserve">that </w:t>
      </w:r>
      <w:r w:rsidR="0021357B">
        <w:rPr>
          <w:sz w:val="28"/>
          <w:szCs w:val="28"/>
        </w:rPr>
        <w:t xml:space="preserve">a special master serving as </w:t>
      </w:r>
      <w:r w:rsidR="0021357B" w:rsidRPr="0021357B">
        <w:rPr>
          <w:sz w:val="28"/>
          <w:szCs w:val="28"/>
        </w:rPr>
        <w:t>a confidential advisor, similar to a judicial law clerk, with expertise in intellectual property law and an engineering background</w:t>
      </w:r>
      <w:r w:rsidR="0021357B">
        <w:rPr>
          <w:sz w:val="28"/>
          <w:szCs w:val="28"/>
        </w:rPr>
        <w:t xml:space="preserve">, </w:t>
      </w:r>
      <w:r w:rsidR="0021357B" w:rsidRPr="0021357B">
        <w:rPr>
          <w:sz w:val="28"/>
          <w:szCs w:val="28"/>
        </w:rPr>
        <w:t>provide</w:t>
      </w:r>
      <w:r w:rsidR="0021357B">
        <w:rPr>
          <w:sz w:val="28"/>
          <w:szCs w:val="28"/>
        </w:rPr>
        <w:t>s</w:t>
      </w:r>
      <w:r w:rsidR="0021357B" w:rsidRPr="0021357B">
        <w:rPr>
          <w:sz w:val="28"/>
          <w:szCs w:val="28"/>
        </w:rPr>
        <w:t xml:space="preserve"> significant assistance to the </w:t>
      </w:r>
      <w:r w:rsidR="0021357B">
        <w:rPr>
          <w:sz w:val="28"/>
          <w:szCs w:val="28"/>
        </w:rPr>
        <w:t>C</w:t>
      </w:r>
      <w:r w:rsidR="0021357B" w:rsidRPr="0021357B">
        <w:rPr>
          <w:sz w:val="28"/>
          <w:szCs w:val="28"/>
        </w:rPr>
        <w:t xml:space="preserve">ourt in understanding the legal and technical issues raised in </w:t>
      </w:r>
      <w:r w:rsidR="0021357B">
        <w:rPr>
          <w:sz w:val="28"/>
          <w:szCs w:val="28"/>
        </w:rPr>
        <w:t>a patent case</w:t>
      </w:r>
      <w:r w:rsidR="0021357B" w:rsidRPr="0021357B">
        <w:rPr>
          <w:sz w:val="28"/>
          <w:szCs w:val="28"/>
        </w:rPr>
        <w:t xml:space="preserve">. The </w:t>
      </w:r>
      <w:r w:rsidR="0021357B">
        <w:rPr>
          <w:sz w:val="28"/>
          <w:szCs w:val="28"/>
        </w:rPr>
        <w:t xml:space="preserve">special master </w:t>
      </w:r>
      <w:r w:rsidR="0021357B" w:rsidRPr="0021357B">
        <w:rPr>
          <w:sz w:val="28"/>
          <w:szCs w:val="28"/>
        </w:rPr>
        <w:t>would also assist in helping facilitate settlement discussions.</w:t>
      </w:r>
    </w:p>
    <w:p w14:paraId="12A32061" w14:textId="77777777" w:rsidR="00961A93" w:rsidRDefault="00961A93" w:rsidP="00961A93">
      <w:pPr>
        <w:pStyle w:val="ListParagraph"/>
        <w:numPr>
          <w:ilvl w:val="0"/>
          <w:numId w:val="16"/>
        </w:numPr>
        <w:spacing w:line="480" w:lineRule="auto"/>
        <w:ind w:left="0" w:firstLine="720"/>
        <w:jc w:val="both"/>
        <w:rPr>
          <w:sz w:val="28"/>
          <w:szCs w:val="28"/>
        </w:rPr>
      </w:pPr>
      <w:r w:rsidRPr="00961A93">
        <w:rPr>
          <w:sz w:val="28"/>
          <w:szCs w:val="28"/>
        </w:rPr>
        <w:t>SETTLEMENT: At the Scheduling Conference, the parties should be prepared to discuss the likelihood of settlement. Before attending the Scheduling Conference, the attorneys should discuss settlement options and mediation/facilitation with their clients. Clients are not required to attend the Scheduling Conference.</w:t>
      </w:r>
    </w:p>
    <w:p w14:paraId="2A3FE098" w14:textId="53553AA7" w:rsidR="00961A93" w:rsidRDefault="00961A93" w:rsidP="00961A93">
      <w:pPr>
        <w:pStyle w:val="ListParagraph"/>
        <w:numPr>
          <w:ilvl w:val="0"/>
          <w:numId w:val="16"/>
        </w:numPr>
        <w:spacing w:line="480" w:lineRule="auto"/>
        <w:ind w:left="0" w:firstLine="720"/>
        <w:jc w:val="both"/>
        <w:rPr>
          <w:sz w:val="28"/>
          <w:szCs w:val="28"/>
        </w:rPr>
      </w:pPr>
      <w:r w:rsidRPr="00961A93">
        <w:rPr>
          <w:sz w:val="28"/>
          <w:szCs w:val="28"/>
        </w:rPr>
        <w:t>INFORMAL TECHNOLOGY TUTORIAL: After claim construction briefs are submitted, the Court typically schedules an informal tutorial on the technology involved in the case. The purpose of the informal tutorial is to give the Court an understanding and background of the technology at issue in the case. The tutorial is not on the record.</w:t>
      </w:r>
    </w:p>
    <w:p w14:paraId="40FFE1D2" w14:textId="77777777" w:rsidR="00934229" w:rsidRDefault="00961A93" w:rsidP="00934229">
      <w:pPr>
        <w:pStyle w:val="ListParagraph"/>
        <w:numPr>
          <w:ilvl w:val="0"/>
          <w:numId w:val="16"/>
        </w:numPr>
        <w:spacing w:line="480" w:lineRule="auto"/>
        <w:ind w:left="0" w:firstLine="720"/>
        <w:jc w:val="both"/>
        <w:rPr>
          <w:sz w:val="28"/>
          <w:szCs w:val="28"/>
        </w:rPr>
      </w:pPr>
      <w:r w:rsidRPr="00961A93">
        <w:rPr>
          <w:sz w:val="28"/>
          <w:szCs w:val="28"/>
        </w:rPr>
        <w:lastRenderedPageBreak/>
        <w:t>LENGTH OF CLAIM CONSTRUCTION BRIEFS: Each party’s opening claim construction brief shall not exceed 25 pages (i.e., plaintiff’s opening claim construction brief and defendant’s responsive claim construction brief), unless a page extension is granted by the Court. The plaintiff’s reply brief shall not exceed 7 pages. If the parties believe that they need an extension of the page limitations, they must file a written motion setting forth the reasons for the extension.</w:t>
      </w:r>
    </w:p>
    <w:p w14:paraId="188ED67D" w14:textId="77777777" w:rsidR="00934229" w:rsidRDefault="00961A93" w:rsidP="00934229">
      <w:pPr>
        <w:pStyle w:val="ListParagraph"/>
        <w:numPr>
          <w:ilvl w:val="0"/>
          <w:numId w:val="16"/>
        </w:numPr>
        <w:spacing w:line="480" w:lineRule="auto"/>
        <w:ind w:left="0" w:firstLine="720"/>
        <w:jc w:val="both"/>
        <w:rPr>
          <w:sz w:val="28"/>
          <w:szCs w:val="28"/>
        </w:rPr>
      </w:pPr>
      <w:r w:rsidRPr="00934229">
        <w:rPr>
          <w:sz w:val="28"/>
          <w:szCs w:val="28"/>
        </w:rPr>
        <w:t>CLAIM CONSTRUCTION HEARING: The Court typically does not hear live testimony at the claim construction hearing. However, on a case-by-case basis, the Court may allow live expert testimony from a person of ordinary skill in the art. If the Court allows expert testimony, each side is typically limited to one hour of live testimony. A request for live testimony must be made by written motion.</w:t>
      </w:r>
    </w:p>
    <w:p w14:paraId="6866E8DB" w14:textId="3AE093CD" w:rsidR="00EB2AD4" w:rsidRPr="00934229" w:rsidRDefault="00961A93" w:rsidP="00934229">
      <w:pPr>
        <w:pStyle w:val="ListParagraph"/>
        <w:numPr>
          <w:ilvl w:val="0"/>
          <w:numId w:val="16"/>
        </w:numPr>
        <w:spacing w:line="480" w:lineRule="auto"/>
        <w:ind w:left="0" w:firstLine="720"/>
        <w:jc w:val="both"/>
        <w:rPr>
          <w:sz w:val="28"/>
          <w:szCs w:val="28"/>
        </w:rPr>
      </w:pPr>
      <w:r w:rsidRPr="00934229">
        <w:rPr>
          <w:sz w:val="28"/>
          <w:szCs w:val="28"/>
        </w:rPr>
        <w:t>DEFAULT PROTECTIVE ORDER: The Court recognizes that during discovery the parties will likely need to disclose confidential and/or proprietary business information (e.g., trade secrets, financial information, etc.) that is not pu</w:t>
      </w:r>
      <w:r w:rsidRPr="00934229">
        <w:rPr>
          <w:sz w:val="28"/>
          <w:szCs w:val="28"/>
        </w:rPr>
        <w:t xml:space="preserve">blicly available. </w:t>
      </w:r>
      <w:r w:rsidR="00D26569" w:rsidRPr="00934229">
        <w:rPr>
          <w:sz w:val="28"/>
          <w:szCs w:val="28"/>
        </w:rPr>
        <w:t>The Court does not wish for discovery or disclosures to be delayed for lack of a protective order. In order to protect the parties’ confidential and proprietary information</w:t>
      </w:r>
      <w:r w:rsidR="00D26569" w:rsidRPr="00934229">
        <w:rPr>
          <w:sz w:val="28"/>
          <w:szCs w:val="28"/>
        </w:rPr>
        <w:t xml:space="preserve">, the </w:t>
      </w:r>
      <w:r w:rsidR="00D26569" w:rsidRPr="00934229">
        <w:rPr>
          <w:sz w:val="28"/>
          <w:szCs w:val="28"/>
        </w:rPr>
        <w:t xml:space="preserve">parties shall promptly negotiate and submit a proposed stipulated protective order for the Court to sign and enter. As provided </w:t>
      </w:r>
      <w:r w:rsidR="00D26569" w:rsidRPr="00934229">
        <w:rPr>
          <w:sz w:val="28"/>
          <w:szCs w:val="28"/>
        </w:rPr>
        <w:t>in</w:t>
      </w:r>
      <w:r w:rsidR="00D26569" w:rsidRPr="00934229">
        <w:rPr>
          <w:sz w:val="28"/>
          <w:szCs w:val="28"/>
        </w:rPr>
        <w:t xml:space="preserve"> the Model Scheduling Order, if the Court has not entered a protective order, any discovery or disclosure that is deemed confidential by a party shall be </w:t>
      </w:r>
      <w:r w:rsidR="00934229" w:rsidRPr="00934229">
        <w:rPr>
          <w:sz w:val="28"/>
          <w:szCs w:val="28"/>
        </w:rPr>
        <w:t xml:space="preserve">preliminarily </w:t>
      </w:r>
      <w:r w:rsidR="00D26569" w:rsidRPr="00934229">
        <w:rPr>
          <w:sz w:val="28"/>
          <w:szCs w:val="28"/>
        </w:rPr>
        <w:t xml:space="preserve">produced to the opposing party for outside counsel’s Attorney’s Eyes Only, </w:t>
      </w:r>
      <w:r w:rsidR="00934229" w:rsidRPr="00934229">
        <w:rPr>
          <w:sz w:val="28"/>
          <w:szCs w:val="28"/>
        </w:rPr>
        <w:t>subject to re-designation, if appropriate, once the Court enters a protective order</w:t>
      </w:r>
      <w:r w:rsidR="00EB2AD4" w:rsidRPr="00934229">
        <w:rPr>
          <w:sz w:val="28"/>
        </w:rPr>
        <w:t>.</w:t>
      </w:r>
    </w:p>
    <w:p w14:paraId="4F000F45" w14:textId="77777777" w:rsidR="00EB2AD4" w:rsidRPr="00314DBD" w:rsidRDefault="00EB2AD4" w:rsidP="00EB2AD4">
      <w:pPr>
        <w:ind w:left="4320" w:firstLine="720"/>
        <w:jc w:val="both"/>
        <w:rPr>
          <w:b/>
          <w:sz w:val="28"/>
          <w:szCs w:val="28"/>
        </w:rPr>
      </w:pPr>
      <w:r w:rsidRPr="00314DBD">
        <w:rPr>
          <w:b/>
          <w:sz w:val="28"/>
          <w:szCs w:val="28"/>
        </w:rPr>
        <w:t>SO ORDERED</w:t>
      </w:r>
    </w:p>
    <w:p w14:paraId="5056B19E" w14:textId="77777777" w:rsidR="00EB2AD4" w:rsidRPr="00314DBD" w:rsidRDefault="00EB2AD4" w:rsidP="00EB2AD4">
      <w:pPr>
        <w:jc w:val="both"/>
        <w:rPr>
          <w:sz w:val="28"/>
          <w:szCs w:val="28"/>
        </w:rPr>
      </w:pPr>
    </w:p>
    <w:p w14:paraId="28E8D54A" w14:textId="77777777" w:rsidR="00EB2AD4" w:rsidRPr="00314DBD" w:rsidRDefault="00EB2AD4" w:rsidP="00EB2AD4">
      <w:pPr>
        <w:jc w:val="both"/>
        <w:rPr>
          <w:sz w:val="28"/>
          <w:szCs w:val="28"/>
        </w:rPr>
      </w:pPr>
    </w:p>
    <w:p w14:paraId="074B3806" w14:textId="77777777" w:rsidR="00EB2AD4" w:rsidRPr="00314DBD" w:rsidRDefault="00EB2AD4" w:rsidP="00EB2AD4">
      <w:pPr>
        <w:jc w:val="both"/>
        <w:rPr>
          <w:sz w:val="28"/>
          <w:szCs w:val="28"/>
        </w:rPr>
      </w:pP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3384"/>
        <w:gridCol w:w="285"/>
        <w:gridCol w:w="4536"/>
      </w:tblGrid>
      <w:tr w:rsidR="00EB2AD4" w:rsidRPr="00314DBD" w14:paraId="4E61B3AF" w14:textId="77777777" w:rsidTr="00E90DD2">
        <w:tc>
          <w:tcPr>
            <w:tcW w:w="1152" w:type="dxa"/>
          </w:tcPr>
          <w:p w14:paraId="6BB1043C" w14:textId="77777777" w:rsidR="00EB2AD4" w:rsidRPr="00314DBD" w:rsidRDefault="00EB2AD4" w:rsidP="00E90DD2">
            <w:pPr>
              <w:jc w:val="both"/>
              <w:rPr>
                <w:sz w:val="28"/>
                <w:szCs w:val="28"/>
              </w:rPr>
            </w:pPr>
            <w:r w:rsidRPr="00314DBD">
              <w:rPr>
                <w:sz w:val="28"/>
                <w:szCs w:val="28"/>
              </w:rPr>
              <w:t>Dated:</w:t>
            </w:r>
          </w:p>
        </w:tc>
        <w:tc>
          <w:tcPr>
            <w:tcW w:w="3384" w:type="dxa"/>
            <w:tcBorders>
              <w:bottom w:val="single" w:sz="4" w:space="0" w:color="auto"/>
            </w:tcBorders>
          </w:tcPr>
          <w:p w14:paraId="00FC6BA2" w14:textId="77777777" w:rsidR="00EB2AD4" w:rsidRPr="00314DBD" w:rsidRDefault="00EB2AD4" w:rsidP="00E90DD2">
            <w:pPr>
              <w:jc w:val="both"/>
              <w:rPr>
                <w:sz w:val="28"/>
                <w:szCs w:val="28"/>
              </w:rPr>
            </w:pPr>
          </w:p>
        </w:tc>
        <w:tc>
          <w:tcPr>
            <w:tcW w:w="285" w:type="dxa"/>
          </w:tcPr>
          <w:p w14:paraId="6EB9E6D0" w14:textId="77777777" w:rsidR="00EB2AD4" w:rsidRPr="00314DBD" w:rsidRDefault="00EB2AD4" w:rsidP="00E90DD2">
            <w:pPr>
              <w:jc w:val="both"/>
              <w:rPr>
                <w:sz w:val="28"/>
                <w:szCs w:val="28"/>
              </w:rPr>
            </w:pPr>
          </w:p>
        </w:tc>
        <w:tc>
          <w:tcPr>
            <w:tcW w:w="4536" w:type="dxa"/>
            <w:tcBorders>
              <w:bottom w:val="single" w:sz="4" w:space="0" w:color="auto"/>
            </w:tcBorders>
          </w:tcPr>
          <w:p w14:paraId="6CD8A5E8" w14:textId="77777777" w:rsidR="00EB2AD4" w:rsidRPr="00314DBD" w:rsidRDefault="00EB2AD4" w:rsidP="00E90DD2">
            <w:pPr>
              <w:jc w:val="both"/>
              <w:rPr>
                <w:sz w:val="28"/>
                <w:szCs w:val="28"/>
              </w:rPr>
            </w:pPr>
          </w:p>
        </w:tc>
      </w:tr>
      <w:tr w:rsidR="00EB2AD4" w:rsidRPr="00314DBD" w14:paraId="106A8CC5" w14:textId="77777777" w:rsidTr="00E90DD2">
        <w:tc>
          <w:tcPr>
            <w:tcW w:w="1152" w:type="dxa"/>
          </w:tcPr>
          <w:p w14:paraId="15372AE7" w14:textId="77777777" w:rsidR="00EB2AD4" w:rsidRPr="00314DBD" w:rsidRDefault="00EB2AD4" w:rsidP="00E90DD2">
            <w:pPr>
              <w:jc w:val="both"/>
              <w:rPr>
                <w:sz w:val="28"/>
                <w:szCs w:val="28"/>
              </w:rPr>
            </w:pPr>
          </w:p>
        </w:tc>
        <w:tc>
          <w:tcPr>
            <w:tcW w:w="3384" w:type="dxa"/>
            <w:tcBorders>
              <w:top w:val="single" w:sz="4" w:space="0" w:color="auto"/>
            </w:tcBorders>
          </w:tcPr>
          <w:p w14:paraId="007589BB" w14:textId="77777777" w:rsidR="00EB2AD4" w:rsidRPr="00314DBD" w:rsidRDefault="00EB2AD4" w:rsidP="00E90DD2">
            <w:pPr>
              <w:jc w:val="both"/>
              <w:rPr>
                <w:sz w:val="28"/>
                <w:szCs w:val="28"/>
              </w:rPr>
            </w:pPr>
          </w:p>
        </w:tc>
        <w:tc>
          <w:tcPr>
            <w:tcW w:w="285" w:type="dxa"/>
          </w:tcPr>
          <w:p w14:paraId="38318C0C" w14:textId="77777777" w:rsidR="00EB2AD4" w:rsidRPr="00314DBD" w:rsidRDefault="00EB2AD4" w:rsidP="00E90DD2">
            <w:pPr>
              <w:jc w:val="both"/>
              <w:rPr>
                <w:sz w:val="28"/>
                <w:szCs w:val="28"/>
              </w:rPr>
            </w:pPr>
          </w:p>
        </w:tc>
        <w:tc>
          <w:tcPr>
            <w:tcW w:w="4536" w:type="dxa"/>
            <w:tcBorders>
              <w:top w:val="single" w:sz="4" w:space="0" w:color="auto"/>
            </w:tcBorders>
          </w:tcPr>
          <w:p w14:paraId="5FD67C47" w14:textId="77777777" w:rsidR="00EB2AD4" w:rsidRPr="00314DBD" w:rsidRDefault="00EB2AD4" w:rsidP="00E90DD2">
            <w:pPr>
              <w:jc w:val="both"/>
              <w:rPr>
                <w:sz w:val="28"/>
                <w:szCs w:val="28"/>
              </w:rPr>
            </w:pPr>
            <w:r w:rsidRPr="00314DBD">
              <w:rPr>
                <w:sz w:val="28"/>
                <w:szCs w:val="28"/>
              </w:rPr>
              <w:t>The Honorable [NAME]</w:t>
            </w:r>
          </w:p>
          <w:p w14:paraId="426AA5E1" w14:textId="77777777" w:rsidR="00EB2AD4" w:rsidRPr="00314DBD" w:rsidRDefault="00EB2AD4" w:rsidP="00E90DD2">
            <w:pPr>
              <w:jc w:val="both"/>
              <w:rPr>
                <w:sz w:val="28"/>
                <w:szCs w:val="28"/>
              </w:rPr>
            </w:pPr>
            <w:r w:rsidRPr="00314DBD">
              <w:rPr>
                <w:sz w:val="28"/>
                <w:szCs w:val="28"/>
              </w:rPr>
              <w:t>United States District Judge</w:t>
            </w:r>
          </w:p>
        </w:tc>
      </w:tr>
    </w:tbl>
    <w:p w14:paraId="62A727D9" w14:textId="77777777" w:rsidR="00EB2AD4" w:rsidRPr="00314DBD" w:rsidRDefault="00EB2AD4" w:rsidP="00EB2AD4">
      <w:pPr>
        <w:spacing w:line="480" w:lineRule="auto"/>
        <w:jc w:val="both"/>
        <w:rPr>
          <w:sz w:val="28"/>
          <w:szCs w:val="28"/>
        </w:rPr>
      </w:pPr>
    </w:p>
    <w:sectPr w:rsidR="00EB2AD4" w:rsidRPr="00314DBD" w:rsidSect="00961A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158F" w14:textId="77777777" w:rsidR="00E46752" w:rsidRDefault="00E46752">
      <w:r>
        <w:separator/>
      </w:r>
    </w:p>
  </w:endnote>
  <w:endnote w:type="continuationSeparator" w:id="0">
    <w:p w14:paraId="594F4427" w14:textId="77777777" w:rsidR="00E46752" w:rsidRDefault="00E4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99B0" w14:textId="77777777" w:rsidR="00E46752" w:rsidRDefault="00E46752">
      <w:r>
        <w:separator/>
      </w:r>
    </w:p>
  </w:footnote>
  <w:footnote w:type="continuationSeparator" w:id="0">
    <w:p w14:paraId="39CC6A72" w14:textId="77777777" w:rsidR="00E46752" w:rsidRDefault="00E46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015"/>
    <w:multiLevelType w:val="multilevel"/>
    <w:tmpl w:val="8FD08766"/>
    <w:lvl w:ilvl="0">
      <w:start w:val="1"/>
      <w:numFmt w:val="upperRoman"/>
      <w:lvlText w:val="%1."/>
      <w:lvlJc w:val="left"/>
      <w:pPr>
        <w:tabs>
          <w:tab w:val="num" w:pos="360"/>
        </w:tabs>
        <w:ind w:left="0" w:firstLine="0"/>
      </w:pPr>
    </w:lvl>
    <w:lvl w:ilvl="1">
      <w:start w:val="1"/>
      <w:numFmt w:val="upperLetter"/>
      <w:lvlText w:val="%2."/>
      <w:lvlJc w:val="left"/>
      <w:pPr>
        <w:tabs>
          <w:tab w:val="num" w:pos="1260"/>
        </w:tabs>
        <w:ind w:left="900" w:firstLine="0"/>
      </w:pPr>
      <w:rPr>
        <w:b/>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C8E7C71"/>
    <w:multiLevelType w:val="multilevel"/>
    <w:tmpl w:val="CE02ACC2"/>
    <w:lvl w:ilvl="0">
      <w:start w:val="1"/>
      <w:numFmt w:val="upperRoman"/>
      <w:lvlText w:val="%1."/>
      <w:lvlJc w:val="left"/>
      <w:pPr>
        <w:tabs>
          <w:tab w:val="num" w:pos="1440"/>
        </w:tabs>
        <w:ind w:left="720" w:firstLine="0"/>
      </w:pPr>
      <w:rPr>
        <w:rFonts w:hint="default"/>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520"/>
        </w:tabs>
        <w:ind w:left="2160" w:firstLine="0"/>
      </w:pPr>
      <w:rPr>
        <w:rFonts w:ascii="Times New Roman" w:hAnsi="Times New Roman" w:hint="default"/>
        <w:b/>
        <w:i w:val="0"/>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15:restartNumberingAfterBreak="0">
    <w:nsid w:val="3676087A"/>
    <w:multiLevelType w:val="hybridMultilevel"/>
    <w:tmpl w:val="92EC0E82"/>
    <w:lvl w:ilvl="0" w:tplc="3E5EF1F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15:restartNumberingAfterBreak="0">
    <w:nsid w:val="3A003FB8"/>
    <w:multiLevelType w:val="hybridMultilevel"/>
    <w:tmpl w:val="74044284"/>
    <w:lvl w:ilvl="0" w:tplc="4FB693A4">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831DFF"/>
    <w:multiLevelType w:val="multilevel"/>
    <w:tmpl w:val="BF6E631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ascii="Times New Roman" w:hAnsi="Times New Roman" w:hint="default"/>
        <w:b/>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92F5ED3"/>
    <w:multiLevelType w:val="multilevel"/>
    <w:tmpl w:val="BE80D25A"/>
    <w:lvl w:ilvl="0">
      <w:start w:val="1"/>
      <w:numFmt w:val="upperRoman"/>
      <w:pStyle w:val="Heading1"/>
      <w:lvlText w:val="%1."/>
      <w:lvlJc w:val="left"/>
      <w:pPr>
        <w:tabs>
          <w:tab w:val="num" w:pos="1440"/>
        </w:tabs>
        <w:ind w:left="720" w:firstLine="0"/>
      </w:pPr>
      <w:rPr>
        <w:rFonts w:hint="default"/>
      </w:rPr>
    </w:lvl>
    <w:lvl w:ilvl="1">
      <w:start w:val="1"/>
      <w:numFmt w:val="upperLetter"/>
      <w:pStyle w:val="Heading2"/>
      <w:lvlText w:val="%2."/>
      <w:lvlJc w:val="left"/>
      <w:pPr>
        <w:tabs>
          <w:tab w:val="num" w:pos="2160"/>
        </w:tabs>
        <w:ind w:left="2160" w:hanging="720"/>
      </w:pPr>
      <w:rPr>
        <w:rFonts w:ascii="Times New Roman" w:hAnsi="Times New Roman" w:hint="default"/>
        <w:b/>
        <w:i w:val="0"/>
        <w:sz w:val="24"/>
      </w:rPr>
    </w:lvl>
    <w:lvl w:ilvl="2">
      <w:start w:val="1"/>
      <w:numFmt w:val="decimal"/>
      <w:pStyle w:val="Heading3"/>
      <w:lvlText w:val="%3."/>
      <w:lvlJc w:val="left"/>
      <w:pPr>
        <w:tabs>
          <w:tab w:val="num" w:pos="2880"/>
        </w:tabs>
        <w:ind w:left="2160" w:firstLine="0"/>
      </w:pPr>
      <w:rPr>
        <w:rFonts w:ascii="Times New Roman" w:hAnsi="Times New Roman" w:hint="default"/>
        <w:b/>
        <w:i w:val="0"/>
      </w:rPr>
    </w:lvl>
    <w:lvl w:ilvl="3">
      <w:start w:val="1"/>
      <w:numFmt w:val="lowerLetter"/>
      <w:pStyle w:val="Heading4"/>
      <w:lvlText w:val="%4)"/>
      <w:lvlJc w:val="left"/>
      <w:pPr>
        <w:tabs>
          <w:tab w:val="num" w:pos="3240"/>
        </w:tabs>
        <w:ind w:left="2880" w:firstLine="0"/>
      </w:pPr>
      <w:rPr>
        <w:rFonts w:hint="default"/>
      </w:rPr>
    </w:lvl>
    <w:lvl w:ilvl="4">
      <w:start w:val="1"/>
      <w:numFmt w:val="decimal"/>
      <w:pStyle w:val="Heading5"/>
      <w:lvlText w:val="(%5)"/>
      <w:lvlJc w:val="left"/>
      <w:pPr>
        <w:tabs>
          <w:tab w:val="num" w:pos="3960"/>
        </w:tabs>
        <w:ind w:left="3600" w:firstLine="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6" w15:restartNumberingAfterBreak="0">
    <w:nsid w:val="558C2860"/>
    <w:multiLevelType w:val="hybridMultilevel"/>
    <w:tmpl w:val="0BF8973C"/>
    <w:lvl w:ilvl="0" w:tplc="573C23E0">
      <w:start w:val="1"/>
      <w:numFmt w:val="decimal"/>
      <w:lvlText w:val="%1."/>
      <w:lvlJc w:val="left"/>
      <w:pPr>
        <w:tabs>
          <w:tab w:val="num" w:pos="1080"/>
        </w:tabs>
        <w:ind w:left="1080" w:hanging="720"/>
      </w:pPr>
      <w:rPr>
        <w:rFonts w:hint="default"/>
      </w:rPr>
    </w:lvl>
    <w:lvl w:ilvl="1" w:tplc="7E88B6A8">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90266F"/>
    <w:multiLevelType w:val="multilevel"/>
    <w:tmpl w:val="4704D84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639F12B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0C466CC"/>
    <w:multiLevelType w:val="multilevel"/>
    <w:tmpl w:val="4030DB4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719C38CC"/>
    <w:multiLevelType w:val="hybridMultilevel"/>
    <w:tmpl w:val="6680D9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542C46"/>
    <w:multiLevelType w:val="multilevel"/>
    <w:tmpl w:val="76E0FD34"/>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7B094FD4"/>
    <w:multiLevelType w:val="multilevel"/>
    <w:tmpl w:val="F0D80EA6"/>
    <w:lvl w:ilvl="0">
      <w:start w:val="1"/>
      <w:numFmt w:val="upperRoman"/>
      <w:lvlText w:val="%1."/>
      <w:lvlJc w:val="left"/>
      <w:pPr>
        <w:tabs>
          <w:tab w:val="num" w:pos="1440"/>
        </w:tabs>
        <w:ind w:left="720" w:firstLine="0"/>
      </w:pPr>
      <w:rPr>
        <w:rFonts w:hint="default"/>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520"/>
        </w:tabs>
        <w:ind w:left="2160" w:firstLine="0"/>
      </w:pPr>
      <w:rPr>
        <w:rFonts w:ascii="Times New Roman" w:hAnsi="Times New Roman" w:hint="default"/>
        <w:b/>
        <w:i w:val="0"/>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3" w15:restartNumberingAfterBreak="0">
    <w:nsid w:val="7BC055AC"/>
    <w:multiLevelType w:val="multilevel"/>
    <w:tmpl w:val="7AAE0290"/>
    <w:lvl w:ilvl="0">
      <w:start w:val="1"/>
      <w:numFmt w:val="upperRoman"/>
      <w:lvlText w:val="%1."/>
      <w:lvlJc w:val="left"/>
      <w:pPr>
        <w:tabs>
          <w:tab w:val="num" w:pos="1440"/>
        </w:tabs>
        <w:ind w:left="720" w:firstLine="0"/>
      </w:pPr>
      <w:rPr>
        <w:rFonts w:hint="default"/>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520"/>
        </w:tabs>
        <w:ind w:left="2160" w:firstLine="0"/>
      </w:pPr>
      <w:rPr>
        <w:rFonts w:ascii="Times New Roman" w:hAnsi="Times New Roman" w:hint="default"/>
        <w:b/>
        <w:i w:val="0"/>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16cid:durableId="530415487">
    <w:abstractNumId w:val="6"/>
  </w:num>
  <w:num w:numId="2" w16cid:durableId="89470236">
    <w:abstractNumId w:val="0"/>
  </w:num>
  <w:num w:numId="3" w16cid:durableId="866793864">
    <w:abstractNumId w:val="5"/>
  </w:num>
  <w:num w:numId="4" w16cid:durableId="1303004970">
    <w:abstractNumId w:val="2"/>
  </w:num>
  <w:num w:numId="5" w16cid:durableId="1789426118">
    <w:abstractNumId w:val="8"/>
  </w:num>
  <w:num w:numId="6" w16cid:durableId="2135561349">
    <w:abstractNumId w:val="11"/>
  </w:num>
  <w:num w:numId="7" w16cid:durableId="1620841751">
    <w:abstractNumId w:val="7"/>
  </w:num>
  <w:num w:numId="8" w16cid:durableId="1279796415">
    <w:abstractNumId w:val="9"/>
  </w:num>
  <w:num w:numId="9" w16cid:durableId="1542283027">
    <w:abstractNumId w:val="4"/>
  </w:num>
  <w:num w:numId="10" w16cid:durableId="523788907">
    <w:abstractNumId w:val="12"/>
  </w:num>
  <w:num w:numId="11" w16cid:durableId="1593780525">
    <w:abstractNumId w:val="13"/>
  </w:num>
  <w:num w:numId="12" w16cid:durableId="1293943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505261">
    <w:abstractNumId w:val="1"/>
  </w:num>
  <w:num w:numId="14" w16cid:durableId="2131631401">
    <w:abstractNumId w:val="5"/>
  </w:num>
  <w:num w:numId="15" w16cid:durableId="2000228176">
    <w:abstractNumId w:val="5"/>
  </w:num>
  <w:num w:numId="16" w16cid:durableId="2071420830">
    <w:abstractNumId w:val="10"/>
  </w:num>
  <w:num w:numId="17" w16cid:durableId="1699428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E"/>
    <w:rsid w:val="0000766B"/>
    <w:rsid w:val="0001688A"/>
    <w:rsid w:val="00017F95"/>
    <w:rsid w:val="00047F7D"/>
    <w:rsid w:val="000761E3"/>
    <w:rsid w:val="00077AE3"/>
    <w:rsid w:val="00081320"/>
    <w:rsid w:val="000E2548"/>
    <w:rsid w:val="000F6A33"/>
    <w:rsid w:val="00116E1D"/>
    <w:rsid w:val="001354BE"/>
    <w:rsid w:val="001B62A7"/>
    <w:rsid w:val="001C7306"/>
    <w:rsid w:val="001D227E"/>
    <w:rsid w:val="001D5373"/>
    <w:rsid w:val="001E360A"/>
    <w:rsid w:val="00200FFD"/>
    <w:rsid w:val="0021357B"/>
    <w:rsid w:val="00220F46"/>
    <w:rsid w:val="00226D8B"/>
    <w:rsid w:val="00227786"/>
    <w:rsid w:val="0023567B"/>
    <w:rsid w:val="00237A82"/>
    <w:rsid w:val="00244262"/>
    <w:rsid w:val="0027748B"/>
    <w:rsid w:val="00287AC5"/>
    <w:rsid w:val="002967D8"/>
    <w:rsid w:val="002B21C3"/>
    <w:rsid w:val="002B6EE9"/>
    <w:rsid w:val="002D09BB"/>
    <w:rsid w:val="002E0E29"/>
    <w:rsid w:val="002F62B6"/>
    <w:rsid w:val="0031443C"/>
    <w:rsid w:val="00351730"/>
    <w:rsid w:val="003708A1"/>
    <w:rsid w:val="00370E19"/>
    <w:rsid w:val="0038159E"/>
    <w:rsid w:val="003C1248"/>
    <w:rsid w:val="003C291C"/>
    <w:rsid w:val="003D438F"/>
    <w:rsid w:val="003F031C"/>
    <w:rsid w:val="00427AB5"/>
    <w:rsid w:val="00440909"/>
    <w:rsid w:val="004459E5"/>
    <w:rsid w:val="00453201"/>
    <w:rsid w:val="00463B3D"/>
    <w:rsid w:val="00471F79"/>
    <w:rsid w:val="004A2969"/>
    <w:rsid w:val="004D3E93"/>
    <w:rsid w:val="004D7EA8"/>
    <w:rsid w:val="004F44C1"/>
    <w:rsid w:val="0051517A"/>
    <w:rsid w:val="00517D70"/>
    <w:rsid w:val="00523943"/>
    <w:rsid w:val="00531C88"/>
    <w:rsid w:val="00534839"/>
    <w:rsid w:val="005518D3"/>
    <w:rsid w:val="005645F7"/>
    <w:rsid w:val="0058389D"/>
    <w:rsid w:val="005C1930"/>
    <w:rsid w:val="005D691B"/>
    <w:rsid w:val="00606D95"/>
    <w:rsid w:val="0061272D"/>
    <w:rsid w:val="00644FD9"/>
    <w:rsid w:val="00691416"/>
    <w:rsid w:val="006B6B72"/>
    <w:rsid w:val="006D5760"/>
    <w:rsid w:val="006E0FED"/>
    <w:rsid w:val="006F2F48"/>
    <w:rsid w:val="00705270"/>
    <w:rsid w:val="00720960"/>
    <w:rsid w:val="00720F16"/>
    <w:rsid w:val="0073449A"/>
    <w:rsid w:val="00743F80"/>
    <w:rsid w:val="00751239"/>
    <w:rsid w:val="00751340"/>
    <w:rsid w:val="00756EC6"/>
    <w:rsid w:val="0075791F"/>
    <w:rsid w:val="00763306"/>
    <w:rsid w:val="0076799F"/>
    <w:rsid w:val="007A5C96"/>
    <w:rsid w:val="007C3BBF"/>
    <w:rsid w:val="007D7BA0"/>
    <w:rsid w:val="00811291"/>
    <w:rsid w:val="00822F6A"/>
    <w:rsid w:val="00826A07"/>
    <w:rsid w:val="00830106"/>
    <w:rsid w:val="008420C5"/>
    <w:rsid w:val="0084525E"/>
    <w:rsid w:val="00876DD8"/>
    <w:rsid w:val="00881D2C"/>
    <w:rsid w:val="008B23E8"/>
    <w:rsid w:val="008B6256"/>
    <w:rsid w:val="008D2A35"/>
    <w:rsid w:val="008D381E"/>
    <w:rsid w:val="008E39CA"/>
    <w:rsid w:val="008E7481"/>
    <w:rsid w:val="00912B76"/>
    <w:rsid w:val="009165F4"/>
    <w:rsid w:val="00934229"/>
    <w:rsid w:val="00941868"/>
    <w:rsid w:val="0094216C"/>
    <w:rsid w:val="00961A93"/>
    <w:rsid w:val="009909B9"/>
    <w:rsid w:val="00997B51"/>
    <w:rsid w:val="009D2EAB"/>
    <w:rsid w:val="009D7CFC"/>
    <w:rsid w:val="009E5AC6"/>
    <w:rsid w:val="00A340EB"/>
    <w:rsid w:val="00A41DFD"/>
    <w:rsid w:val="00A50A8E"/>
    <w:rsid w:val="00A54C0E"/>
    <w:rsid w:val="00A578F8"/>
    <w:rsid w:val="00A80C29"/>
    <w:rsid w:val="00AB5E14"/>
    <w:rsid w:val="00B03850"/>
    <w:rsid w:val="00B44CEB"/>
    <w:rsid w:val="00B476FB"/>
    <w:rsid w:val="00B65DD7"/>
    <w:rsid w:val="00B66C77"/>
    <w:rsid w:val="00B72C5C"/>
    <w:rsid w:val="00B830D0"/>
    <w:rsid w:val="00BA051D"/>
    <w:rsid w:val="00BB20B0"/>
    <w:rsid w:val="00BD4C44"/>
    <w:rsid w:val="00BD73F6"/>
    <w:rsid w:val="00BE2E75"/>
    <w:rsid w:val="00BE3C85"/>
    <w:rsid w:val="00C007DB"/>
    <w:rsid w:val="00C22117"/>
    <w:rsid w:val="00C27D72"/>
    <w:rsid w:val="00C52A2A"/>
    <w:rsid w:val="00C979DE"/>
    <w:rsid w:val="00CA2CBF"/>
    <w:rsid w:val="00CC48AC"/>
    <w:rsid w:val="00CC61DB"/>
    <w:rsid w:val="00CD2516"/>
    <w:rsid w:val="00CD6972"/>
    <w:rsid w:val="00D00F49"/>
    <w:rsid w:val="00D13005"/>
    <w:rsid w:val="00D26569"/>
    <w:rsid w:val="00D31F1C"/>
    <w:rsid w:val="00D338B0"/>
    <w:rsid w:val="00D51878"/>
    <w:rsid w:val="00D524D4"/>
    <w:rsid w:val="00D654A0"/>
    <w:rsid w:val="00D92CE0"/>
    <w:rsid w:val="00DF3738"/>
    <w:rsid w:val="00E46752"/>
    <w:rsid w:val="00E52CE1"/>
    <w:rsid w:val="00E53FB7"/>
    <w:rsid w:val="00E6057D"/>
    <w:rsid w:val="00E6500A"/>
    <w:rsid w:val="00E74203"/>
    <w:rsid w:val="00E74B31"/>
    <w:rsid w:val="00E8046C"/>
    <w:rsid w:val="00E813BF"/>
    <w:rsid w:val="00E86807"/>
    <w:rsid w:val="00EB2AD4"/>
    <w:rsid w:val="00EC1630"/>
    <w:rsid w:val="00ED1A60"/>
    <w:rsid w:val="00ED76C4"/>
    <w:rsid w:val="00EE3B3F"/>
    <w:rsid w:val="00EE70CE"/>
    <w:rsid w:val="00F17F13"/>
    <w:rsid w:val="00F2615D"/>
    <w:rsid w:val="00F616BA"/>
    <w:rsid w:val="00F95E05"/>
    <w:rsid w:val="00FC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15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qFormat/>
    <w:pPr>
      <w:keepNext/>
      <w:widowControl w:val="0"/>
      <w:numPr>
        <w:numId w:val="3"/>
      </w:numPr>
      <w:spacing w:before="120" w:after="120"/>
      <w:outlineLvl w:val="0"/>
    </w:pPr>
    <w:rPr>
      <w:rFonts w:cs="Arial"/>
      <w:b/>
      <w:bCs/>
      <w:kern w:val="32"/>
      <w:szCs w:val="32"/>
    </w:rPr>
  </w:style>
  <w:style w:type="paragraph" w:styleId="Heading2">
    <w:name w:val="heading 2"/>
    <w:basedOn w:val="Normal"/>
    <w:next w:val="Normal"/>
    <w:link w:val="Heading2Char"/>
    <w:qFormat/>
    <w:pPr>
      <w:keepNext/>
      <w:numPr>
        <w:ilvl w:val="1"/>
        <w:numId w:val="3"/>
      </w:numPr>
      <w:spacing w:line="480" w:lineRule="auto"/>
      <w:outlineLvl w:val="1"/>
    </w:pPr>
    <w:rPr>
      <w:rFonts w:cs="Arial"/>
      <w:bCs/>
      <w:iCs/>
      <w:szCs w:val="28"/>
    </w:rPr>
  </w:style>
  <w:style w:type="paragraph" w:styleId="Heading3">
    <w:name w:val="heading 3"/>
    <w:basedOn w:val="Normal"/>
    <w:next w:val="Normal"/>
    <w:link w:val="Heading3Char"/>
    <w:qFormat/>
    <w:pPr>
      <w:numPr>
        <w:ilvl w:val="2"/>
        <w:numId w:val="3"/>
      </w:numPr>
      <w:spacing w:line="480" w:lineRule="auto"/>
      <w:outlineLvl w:val="2"/>
    </w:pPr>
    <w:rPr>
      <w:rFonts w:cs="Arial"/>
      <w:bCs/>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44262"/>
    <w:rPr>
      <w:sz w:val="20"/>
      <w:szCs w:val="20"/>
    </w:rPr>
  </w:style>
  <w:style w:type="character" w:styleId="FootnoteReference">
    <w:name w:val="footnote reference"/>
    <w:semiHidden/>
    <w:rsid w:val="00244262"/>
    <w:rPr>
      <w:vertAlign w:val="superscript"/>
    </w:rPr>
  </w:style>
  <w:style w:type="paragraph" w:styleId="BalloonText">
    <w:name w:val="Balloon Text"/>
    <w:basedOn w:val="Normal"/>
    <w:semiHidden/>
    <w:rsid w:val="006F2F48"/>
    <w:rPr>
      <w:rFonts w:ascii="Tahoma" w:hAnsi="Tahoma" w:cs="Tahoma"/>
      <w:sz w:val="16"/>
      <w:szCs w:val="16"/>
    </w:rPr>
  </w:style>
  <w:style w:type="character" w:customStyle="1" w:styleId="Heading3Char">
    <w:name w:val="Heading 3 Char"/>
    <w:link w:val="Heading3"/>
    <w:rsid w:val="0023567B"/>
    <w:rPr>
      <w:rFonts w:cs="Arial"/>
      <w:bCs/>
      <w:sz w:val="24"/>
      <w:szCs w:val="26"/>
      <w:lang w:eastAsia="ja-JP"/>
    </w:rPr>
  </w:style>
  <w:style w:type="paragraph" w:styleId="Header">
    <w:name w:val="header"/>
    <w:basedOn w:val="Normal"/>
    <w:link w:val="HeaderChar"/>
    <w:rsid w:val="007C3BBF"/>
    <w:pPr>
      <w:tabs>
        <w:tab w:val="center" w:pos="4680"/>
        <w:tab w:val="right" w:pos="9360"/>
      </w:tabs>
    </w:pPr>
  </w:style>
  <w:style w:type="character" w:customStyle="1" w:styleId="HeaderChar">
    <w:name w:val="Header Char"/>
    <w:basedOn w:val="DefaultParagraphFont"/>
    <w:link w:val="Header"/>
    <w:rsid w:val="007C3BBF"/>
    <w:rPr>
      <w:sz w:val="24"/>
      <w:szCs w:val="24"/>
      <w:lang w:eastAsia="ja-JP"/>
    </w:rPr>
  </w:style>
  <w:style w:type="paragraph" w:styleId="Revision">
    <w:name w:val="Revision"/>
    <w:hidden/>
    <w:uiPriority w:val="99"/>
    <w:semiHidden/>
    <w:rsid w:val="0076799F"/>
    <w:rPr>
      <w:sz w:val="24"/>
      <w:szCs w:val="24"/>
      <w:lang w:eastAsia="ja-JP"/>
    </w:rPr>
  </w:style>
  <w:style w:type="paragraph" w:styleId="ListParagraph">
    <w:name w:val="List Paragraph"/>
    <w:basedOn w:val="Normal"/>
    <w:uiPriority w:val="34"/>
    <w:qFormat/>
    <w:rsid w:val="00961A93"/>
    <w:pPr>
      <w:ind w:left="720"/>
      <w:contextualSpacing/>
    </w:pPr>
  </w:style>
  <w:style w:type="character" w:customStyle="1" w:styleId="Heading2Char">
    <w:name w:val="Heading 2 Char"/>
    <w:basedOn w:val="DefaultParagraphFont"/>
    <w:link w:val="Heading2"/>
    <w:rsid w:val="00EB2AD4"/>
    <w:rPr>
      <w:rFonts w:cs="Arial"/>
      <w:bCs/>
      <w:iCs/>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3768</Characters>
  <DocSecurity>0</DocSecurity>
  <PresentationFormat>11|.DOC</PresentationFormat>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2025-01-27T22:37:00Z</dcterms:created>
  <dcterms:modified xsi:type="dcterms:W3CDTF">2025-01-27T22:37:00Z</dcterms:modified>
</cp:coreProperties>
</file>