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1AB4" w14:textId="731AA1D4" w:rsidR="00F260D7" w:rsidRDefault="00F260D7" w:rsidP="00F260D7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611337">
        <w:rPr>
          <w:sz w:val="24"/>
          <w:szCs w:val="24"/>
          <w:lang w:val="en-CA"/>
        </w:rPr>
        <w:t>UN</w:t>
      </w:r>
      <w:r>
        <w:rPr>
          <w:sz w:val="24"/>
          <w:szCs w:val="24"/>
        </w:rPr>
        <w:t>ITED STATES DISTRICT COURT</w:t>
      </w:r>
    </w:p>
    <w:p w14:paraId="07A72431" w14:textId="77777777" w:rsidR="00F260D7" w:rsidRDefault="00F260D7" w:rsidP="00F260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EASTERN DISTRICT OF MICHIGAN</w:t>
      </w:r>
    </w:p>
    <w:p w14:paraId="32241324" w14:textId="77777777" w:rsidR="00F260D7" w:rsidRDefault="00F260D7" w:rsidP="00F260D7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SOUTHERN DIVISION</w:t>
      </w:r>
    </w:p>
    <w:p w14:paraId="2CFF0D6B" w14:textId="77777777" w:rsidR="00F260D7" w:rsidRDefault="00F260D7" w:rsidP="00F260D7">
      <w:pPr>
        <w:contextualSpacing/>
        <w:rPr>
          <w:sz w:val="24"/>
          <w:szCs w:val="24"/>
        </w:rPr>
      </w:pPr>
    </w:p>
    <w:p w14:paraId="4FB28455" w14:textId="77777777" w:rsidR="00F260D7" w:rsidRDefault="00F260D7" w:rsidP="00F260D7">
      <w:pPr>
        <w:contextualSpacing/>
        <w:rPr>
          <w:sz w:val="24"/>
          <w:szCs w:val="24"/>
        </w:rPr>
      </w:pPr>
    </w:p>
    <w:p w14:paraId="0E8B8F24" w14:textId="572130C5" w:rsidR="00F260D7" w:rsidRDefault="00F260D7" w:rsidP="00F260D7">
      <w:pPr>
        <w:contextualSpacing/>
        <w:rPr>
          <w:sz w:val="24"/>
          <w:szCs w:val="24"/>
        </w:rPr>
      </w:pPr>
      <w:r>
        <w:rPr>
          <w:sz w:val="24"/>
          <w:szCs w:val="24"/>
        </w:rPr>
        <w:t>,</w:t>
      </w:r>
    </w:p>
    <w:p w14:paraId="1AFF1EE3" w14:textId="77777777" w:rsidR="00F260D7" w:rsidRDefault="00F260D7" w:rsidP="00F260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850B6E4" w14:textId="39FC866B" w:rsidR="00F260D7" w:rsidRDefault="00F260D7" w:rsidP="00F26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Plaintif</w:t>
      </w:r>
      <w:r w:rsidR="00A368D7">
        <w:rPr>
          <w:sz w:val="24"/>
          <w:szCs w:val="24"/>
        </w:rPr>
        <w:t>f(s)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 w:rsidR="0014766F">
        <w:rPr>
          <w:sz w:val="24"/>
          <w:szCs w:val="24"/>
        </w:rPr>
        <w:tab/>
      </w:r>
      <w:r w:rsidR="0014766F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Civil Action No.</w:t>
      </w:r>
      <w:r w:rsidR="0014766F" w:rsidRPr="0014766F">
        <w:rPr>
          <w:sz w:val="24"/>
          <w:szCs w:val="24"/>
        </w:rPr>
        <w:t xml:space="preserve"> </w:t>
      </w:r>
      <w:r w:rsidR="0014766F">
        <w:rPr>
          <w:sz w:val="24"/>
          <w:szCs w:val="24"/>
        </w:rPr>
        <w:t xml:space="preserve"> </w:t>
      </w:r>
    </w:p>
    <w:p w14:paraId="5B852D28" w14:textId="250E4AD1" w:rsidR="00F260D7" w:rsidRPr="009E68F2" w:rsidRDefault="00F260D7" w:rsidP="00F260D7">
      <w:pPr>
        <w:contextualSpacing/>
        <w:rPr>
          <w:sz w:val="24"/>
          <w:szCs w:val="24"/>
          <w:lang w:val="de-D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3756DD">
        <w:rPr>
          <w:sz w:val="24"/>
          <w:szCs w:val="24"/>
        </w:rPr>
        <w:t xml:space="preserve">       </w:t>
      </w:r>
      <w:r w:rsidR="0014766F" w:rsidRPr="008629E2">
        <w:rPr>
          <w:sz w:val="24"/>
          <w:szCs w:val="24"/>
          <w:lang w:val="de-DE"/>
        </w:rPr>
        <w:t>HON. MARK A. GOLDSMITH</w:t>
      </w:r>
    </w:p>
    <w:p w14:paraId="1F2239B1" w14:textId="77777777" w:rsidR="00F260D7" w:rsidRPr="008629E2" w:rsidRDefault="00F260D7" w:rsidP="00F260D7">
      <w:pPr>
        <w:contextualSpacing/>
        <w:rPr>
          <w:sz w:val="24"/>
          <w:szCs w:val="24"/>
          <w:lang w:val="de-DE"/>
        </w:rPr>
      </w:pPr>
      <w:r w:rsidRPr="008629E2">
        <w:rPr>
          <w:sz w:val="24"/>
          <w:szCs w:val="24"/>
          <w:lang w:val="de-DE"/>
        </w:rPr>
        <w:t>v.</w:t>
      </w:r>
      <w:r w:rsidRPr="008629E2">
        <w:rPr>
          <w:sz w:val="24"/>
          <w:szCs w:val="24"/>
          <w:lang w:val="de-DE"/>
        </w:rPr>
        <w:tab/>
      </w:r>
      <w:r w:rsidRPr="008629E2">
        <w:rPr>
          <w:sz w:val="24"/>
          <w:szCs w:val="24"/>
          <w:lang w:val="de-DE"/>
        </w:rPr>
        <w:tab/>
      </w:r>
      <w:r w:rsidRPr="008629E2">
        <w:rPr>
          <w:sz w:val="24"/>
          <w:szCs w:val="24"/>
          <w:lang w:val="de-DE"/>
        </w:rPr>
        <w:tab/>
      </w:r>
    </w:p>
    <w:p w14:paraId="7F0BECD3" w14:textId="2D5B5D12" w:rsidR="00F260D7" w:rsidRPr="008629E2" w:rsidRDefault="00F260D7" w:rsidP="00F260D7">
      <w:pPr>
        <w:contextualSpacing/>
        <w:rPr>
          <w:sz w:val="24"/>
          <w:szCs w:val="24"/>
          <w:lang w:val="de-DE"/>
        </w:rPr>
      </w:pPr>
      <w:r w:rsidRPr="008629E2">
        <w:rPr>
          <w:sz w:val="24"/>
          <w:szCs w:val="24"/>
          <w:lang w:val="de-DE"/>
        </w:rPr>
        <w:tab/>
      </w:r>
      <w:r w:rsidRPr="008629E2">
        <w:rPr>
          <w:sz w:val="24"/>
          <w:szCs w:val="24"/>
          <w:lang w:val="de-DE"/>
        </w:rPr>
        <w:tab/>
      </w:r>
      <w:r w:rsidRPr="008629E2">
        <w:rPr>
          <w:sz w:val="24"/>
          <w:szCs w:val="24"/>
          <w:lang w:val="de-DE"/>
        </w:rPr>
        <w:tab/>
      </w:r>
      <w:r w:rsidRPr="008629E2">
        <w:rPr>
          <w:sz w:val="24"/>
          <w:szCs w:val="24"/>
          <w:lang w:val="de-DE"/>
        </w:rPr>
        <w:tab/>
      </w:r>
      <w:r w:rsidRPr="008629E2">
        <w:rPr>
          <w:sz w:val="24"/>
          <w:szCs w:val="24"/>
          <w:lang w:val="de-DE"/>
        </w:rPr>
        <w:tab/>
      </w:r>
      <w:r w:rsidRPr="008629E2">
        <w:rPr>
          <w:sz w:val="24"/>
          <w:szCs w:val="24"/>
          <w:lang w:val="de-DE"/>
        </w:rPr>
        <w:tab/>
      </w:r>
      <w:r w:rsidRPr="008629E2">
        <w:rPr>
          <w:sz w:val="24"/>
          <w:szCs w:val="24"/>
          <w:lang w:val="de-DE"/>
        </w:rPr>
        <w:tab/>
        <w:t xml:space="preserve">       </w:t>
      </w:r>
      <w:r w:rsidRPr="008629E2">
        <w:rPr>
          <w:sz w:val="24"/>
          <w:szCs w:val="24"/>
          <w:lang w:val="de-DE"/>
        </w:rPr>
        <w:tab/>
        <w:t xml:space="preserve"> </w:t>
      </w:r>
    </w:p>
    <w:p w14:paraId="07895D55" w14:textId="2FFAB58E" w:rsidR="00F260D7" w:rsidRDefault="00BD084F" w:rsidP="00F26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contextualSpacing/>
        <w:rPr>
          <w:sz w:val="24"/>
          <w:szCs w:val="24"/>
        </w:rPr>
      </w:pPr>
      <w:r>
        <w:rPr>
          <w:sz w:val="24"/>
          <w:szCs w:val="24"/>
        </w:rPr>
        <w:t>,</w:t>
      </w:r>
      <w:r w:rsidR="00F260D7">
        <w:rPr>
          <w:sz w:val="24"/>
          <w:szCs w:val="24"/>
        </w:rPr>
        <w:tab/>
      </w:r>
      <w:r w:rsidR="00F260D7">
        <w:rPr>
          <w:sz w:val="24"/>
          <w:szCs w:val="24"/>
        </w:rPr>
        <w:tab/>
      </w:r>
      <w:r w:rsidR="00F260D7">
        <w:rPr>
          <w:sz w:val="24"/>
          <w:szCs w:val="24"/>
        </w:rPr>
        <w:tab/>
      </w:r>
      <w:r w:rsidR="00F260D7">
        <w:rPr>
          <w:sz w:val="24"/>
          <w:szCs w:val="24"/>
        </w:rPr>
        <w:tab/>
      </w:r>
      <w:r w:rsidR="00F260D7">
        <w:rPr>
          <w:sz w:val="24"/>
          <w:szCs w:val="24"/>
        </w:rPr>
        <w:tab/>
        <w:t xml:space="preserve">       </w:t>
      </w:r>
    </w:p>
    <w:p w14:paraId="3BCE30F7" w14:textId="77777777" w:rsidR="00F260D7" w:rsidRDefault="00F260D7" w:rsidP="00F260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393836" w14:textId="54F96BBE" w:rsidR="00F260D7" w:rsidRDefault="00F260D7" w:rsidP="00F260D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Defendant</w:t>
      </w:r>
      <w:r w:rsidR="00A368D7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A368D7">
        <w:rPr>
          <w:sz w:val="24"/>
          <w:szCs w:val="24"/>
        </w:rPr>
        <w:t>)</w:t>
      </w:r>
      <w:r w:rsidR="00BD084F">
        <w:rPr>
          <w:sz w:val="24"/>
          <w:szCs w:val="24"/>
        </w:rPr>
        <w:t>.</w:t>
      </w:r>
    </w:p>
    <w:p w14:paraId="5E2E7091" w14:textId="7CF404B0" w:rsidR="00F260D7" w:rsidRDefault="00F260D7" w:rsidP="00F260D7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14766F">
        <w:rPr>
          <w:sz w:val="24"/>
          <w:szCs w:val="24"/>
        </w:rPr>
        <w:t>_______________</w:t>
      </w:r>
      <w:r>
        <w:rPr>
          <w:sz w:val="24"/>
          <w:szCs w:val="24"/>
        </w:rPr>
        <w:t>______/</w:t>
      </w:r>
    </w:p>
    <w:p w14:paraId="4DDF0CDD" w14:textId="77777777" w:rsidR="00111603" w:rsidRDefault="00111603" w:rsidP="00111603">
      <w:pPr>
        <w:rPr>
          <w:sz w:val="22"/>
          <w:szCs w:val="22"/>
        </w:rPr>
      </w:pPr>
    </w:p>
    <w:p w14:paraId="00FD5D7F" w14:textId="25914296" w:rsidR="00111603" w:rsidRDefault="003917ED" w:rsidP="00111603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ORDER </w:t>
      </w:r>
      <w:r w:rsidR="00AD4B78">
        <w:rPr>
          <w:b/>
          <w:bCs/>
          <w:sz w:val="22"/>
          <w:szCs w:val="22"/>
          <w:u w:val="single"/>
        </w:rPr>
        <w:t>REGARDING</w:t>
      </w:r>
      <w:r w:rsidR="00111603">
        <w:rPr>
          <w:b/>
          <w:bCs/>
          <w:sz w:val="22"/>
          <w:szCs w:val="22"/>
          <w:u w:val="single"/>
        </w:rPr>
        <w:t xml:space="preserve"> TELEPHONIC SCHEDULING CONFERENCE</w:t>
      </w:r>
    </w:p>
    <w:p w14:paraId="12F87122" w14:textId="77777777" w:rsidR="00111603" w:rsidRDefault="00111603" w:rsidP="0011160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77C1513" w14:textId="3D828D6E" w:rsidR="00111603" w:rsidRDefault="00111603" w:rsidP="00B31F28">
      <w:pPr>
        <w:ind w:right="-180"/>
        <w:jc w:val="both"/>
        <w:rPr>
          <w:sz w:val="22"/>
          <w:szCs w:val="22"/>
        </w:rPr>
      </w:pPr>
      <w:r>
        <w:rPr>
          <w:sz w:val="22"/>
          <w:szCs w:val="22"/>
        </w:rPr>
        <w:tab/>
        <w:t>You a</w:t>
      </w:r>
      <w:r w:rsidR="00AD4B78">
        <w:rPr>
          <w:sz w:val="22"/>
          <w:szCs w:val="22"/>
        </w:rPr>
        <w:t xml:space="preserve">re ordered to participate in a telephonic scheduling </w:t>
      </w:r>
      <w:r w:rsidR="00955D8B">
        <w:rPr>
          <w:sz w:val="22"/>
          <w:szCs w:val="22"/>
        </w:rPr>
        <w:t>conference</w:t>
      </w:r>
      <w:r w:rsidR="00611337">
        <w:rPr>
          <w:sz w:val="22"/>
          <w:szCs w:val="22"/>
        </w:rPr>
        <w:t xml:space="preserve"> </w:t>
      </w:r>
      <w:r w:rsidR="00A368D7">
        <w:rPr>
          <w:b/>
          <w:bCs/>
          <w:sz w:val="22"/>
          <w:szCs w:val="22"/>
          <w:u w:val="single"/>
        </w:rPr>
        <w:t>______________</w:t>
      </w:r>
      <w:r w:rsidR="003756DD">
        <w:rPr>
          <w:b/>
          <w:bCs/>
          <w:sz w:val="22"/>
          <w:szCs w:val="22"/>
          <w:u w:val="single"/>
        </w:rPr>
        <w:t>.</w:t>
      </w:r>
      <w:r w:rsidR="00C849EA">
        <w:rPr>
          <w:sz w:val="22"/>
          <w:szCs w:val="22"/>
        </w:rPr>
        <w:t xml:space="preserve"> </w:t>
      </w:r>
      <w:r w:rsidR="003917ED">
        <w:rPr>
          <w:sz w:val="22"/>
          <w:szCs w:val="22"/>
        </w:rPr>
        <w:t>in</w:t>
      </w:r>
      <w:r>
        <w:rPr>
          <w:sz w:val="22"/>
          <w:szCs w:val="22"/>
        </w:rPr>
        <w:t xml:space="preserve"> the above-captioned matter</w:t>
      </w:r>
      <w:r w:rsidR="004538FB">
        <w:rPr>
          <w:sz w:val="22"/>
          <w:szCs w:val="22"/>
        </w:rPr>
        <w:t>.</w:t>
      </w:r>
      <w:r w:rsidR="00796204">
        <w:rPr>
          <w:sz w:val="22"/>
          <w:szCs w:val="22"/>
        </w:rPr>
        <w:t xml:space="preserve"> </w:t>
      </w:r>
      <w:r w:rsidR="00D9413B">
        <w:rPr>
          <w:sz w:val="22"/>
          <w:szCs w:val="22"/>
        </w:rPr>
        <w:t xml:space="preserve"> </w:t>
      </w:r>
    </w:p>
    <w:p w14:paraId="0109BBC8" w14:textId="320257F8" w:rsidR="004538FB" w:rsidRPr="004538FB" w:rsidRDefault="004538FB" w:rsidP="00B31F28">
      <w:pPr>
        <w:ind w:right="-180"/>
        <w:jc w:val="both"/>
        <w:rPr>
          <w:sz w:val="22"/>
          <w:szCs w:val="22"/>
        </w:rPr>
      </w:pPr>
    </w:p>
    <w:p w14:paraId="5AD0D86E" w14:textId="016DACD0" w:rsidR="003A584C" w:rsidRPr="0047011F" w:rsidRDefault="0047011F" w:rsidP="0047011F">
      <w:pPr>
        <w:ind w:right="-180" w:firstLine="720"/>
        <w:jc w:val="both"/>
        <w:rPr>
          <w:sz w:val="22"/>
          <w:szCs w:val="22"/>
        </w:rPr>
      </w:pPr>
      <w:r w:rsidRPr="0047011F">
        <w:rPr>
          <w:sz w:val="22"/>
          <w:szCs w:val="22"/>
        </w:rPr>
        <w:t>Plaintiff’s counsel shall initiate the call, and then include the Court by calling (313) 234-5240 when all parties are on the line.</w:t>
      </w:r>
    </w:p>
    <w:p w14:paraId="1780C4DA" w14:textId="77777777" w:rsidR="00247C0B" w:rsidRDefault="00247C0B" w:rsidP="00D43E9F">
      <w:pPr>
        <w:ind w:right="-180"/>
        <w:jc w:val="both"/>
      </w:pPr>
    </w:p>
    <w:p w14:paraId="58115EBF" w14:textId="472953CD" w:rsidR="0047011F" w:rsidRDefault="0047011F" w:rsidP="00D43E9F">
      <w:pPr>
        <w:ind w:right="-180"/>
        <w:jc w:val="both"/>
        <w:sectPr w:rsidR="0047011F" w:rsidSect="008D3B6A">
          <w:type w:val="continuous"/>
          <w:pgSz w:w="12240" w:h="15840"/>
          <w:pgMar w:top="720" w:right="1440" w:bottom="720" w:left="1440" w:header="1440" w:footer="1440" w:gutter="0"/>
          <w:cols w:space="720"/>
        </w:sectPr>
      </w:pPr>
    </w:p>
    <w:p w14:paraId="2D6CAEAA" w14:textId="77777777" w:rsidR="00111603" w:rsidRPr="00F816D8" w:rsidRDefault="00111603" w:rsidP="00D43E9F">
      <w:pPr>
        <w:ind w:right="-180"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Pr="00F816D8">
        <w:rPr>
          <w:bCs/>
          <w:sz w:val="22"/>
          <w:szCs w:val="22"/>
        </w:rPr>
        <w:t xml:space="preserve">rior to the conference, please review the </w:t>
      </w:r>
      <w:r w:rsidR="00AD4B78">
        <w:rPr>
          <w:bCs/>
          <w:sz w:val="22"/>
          <w:szCs w:val="22"/>
        </w:rPr>
        <w:t xml:space="preserve">Court’s </w:t>
      </w:r>
      <w:r w:rsidR="00DB4509">
        <w:rPr>
          <w:bCs/>
          <w:sz w:val="22"/>
          <w:szCs w:val="22"/>
        </w:rPr>
        <w:t>standard</w:t>
      </w:r>
      <w:r w:rsidR="00AD4B78">
        <w:rPr>
          <w:bCs/>
          <w:sz w:val="22"/>
          <w:szCs w:val="22"/>
        </w:rPr>
        <w:t xml:space="preserve"> </w:t>
      </w:r>
      <w:r w:rsidRPr="00F816D8">
        <w:rPr>
          <w:bCs/>
          <w:sz w:val="22"/>
          <w:szCs w:val="22"/>
        </w:rPr>
        <w:t xml:space="preserve">Case Management and Scheduling Order, located on the Court’s website at </w:t>
      </w:r>
      <w:r w:rsidRPr="00F816D8">
        <w:rPr>
          <w:rStyle w:val="SYSHYPERTEXT"/>
          <w:bCs/>
          <w:sz w:val="22"/>
          <w:szCs w:val="22"/>
        </w:rPr>
        <w:t>www.mied.uscourts.gov</w:t>
      </w:r>
      <w:r w:rsidRPr="00F816D8">
        <w:rPr>
          <w:bCs/>
          <w:sz w:val="22"/>
          <w:szCs w:val="22"/>
        </w:rPr>
        <w:t xml:space="preserve">, by clicking on Judicial Officers, District Judges, Judge Mark A. Goldsmith, Form Orders, Case Management and Scheduling Order. </w:t>
      </w:r>
    </w:p>
    <w:p w14:paraId="3D756B1A" w14:textId="77777777" w:rsidR="00111603" w:rsidRDefault="00111603" w:rsidP="00D43E9F">
      <w:pPr>
        <w:ind w:right="-180"/>
        <w:jc w:val="both"/>
        <w:rPr>
          <w:sz w:val="22"/>
          <w:szCs w:val="22"/>
        </w:rPr>
      </w:pPr>
    </w:p>
    <w:p w14:paraId="5C9A98E3" w14:textId="77777777" w:rsidR="00111603" w:rsidRDefault="00111603" w:rsidP="00D43E9F">
      <w:pPr>
        <w:ind w:right="-18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Also prior to the scheduling conference, Plaintiff is req</w:t>
      </w:r>
      <w:r w:rsidR="00AD4B78">
        <w:rPr>
          <w:sz w:val="22"/>
          <w:szCs w:val="22"/>
        </w:rPr>
        <w:t>uired to initiate a</w:t>
      </w:r>
      <w:r>
        <w:rPr>
          <w:sz w:val="22"/>
          <w:szCs w:val="22"/>
        </w:rPr>
        <w:t xml:space="preserve"> conference with </w:t>
      </w:r>
      <w:r w:rsidR="00AD4B78">
        <w:rPr>
          <w:sz w:val="22"/>
          <w:szCs w:val="22"/>
        </w:rPr>
        <w:t>opposing</w:t>
      </w:r>
      <w:r>
        <w:rPr>
          <w:sz w:val="22"/>
          <w:szCs w:val="22"/>
        </w:rPr>
        <w:t xml:space="preserve"> counsel for the purpose of preparing a joint discovery plan in accordance with Fed</w:t>
      </w:r>
      <w:r w:rsidR="00AD4B78">
        <w:rPr>
          <w:sz w:val="22"/>
          <w:szCs w:val="22"/>
        </w:rPr>
        <w:t>eral</w:t>
      </w:r>
      <w:r>
        <w:rPr>
          <w:sz w:val="22"/>
          <w:szCs w:val="22"/>
        </w:rPr>
        <w:t xml:space="preserve"> R</w:t>
      </w:r>
      <w:r w:rsidR="00AD4B78">
        <w:rPr>
          <w:sz w:val="22"/>
          <w:szCs w:val="22"/>
        </w:rPr>
        <w:t>ule</w:t>
      </w:r>
      <w:r>
        <w:rPr>
          <w:sz w:val="22"/>
          <w:szCs w:val="22"/>
        </w:rPr>
        <w:t xml:space="preserve"> </w:t>
      </w:r>
      <w:r w:rsidR="00AD4B78">
        <w:rPr>
          <w:sz w:val="22"/>
          <w:szCs w:val="22"/>
        </w:rPr>
        <w:t xml:space="preserve">of </w:t>
      </w:r>
      <w:proofErr w:type="gramStart"/>
      <w:r>
        <w:rPr>
          <w:sz w:val="22"/>
          <w:szCs w:val="22"/>
        </w:rPr>
        <w:t>Civ</w:t>
      </w:r>
      <w:r w:rsidR="00AD4B78">
        <w:rPr>
          <w:sz w:val="22"/>
          <w:szCs w:val="22"/>
        </w:rPr>
        <w:t xml:space="preserve">il </w:t>
      </w:r>
      <w:r>
        <w:rPr>
          <w:sz w:val="22"/>
          <w:szCs w:val="22"/>
        </w:rPr>
        <w:t xml:space="preserve"> P</w:t>
      </w:r>
      <w:r w:rsidR="00AD4B78">
        <w:rPr>
          <w:sz w:val="22"/>
          <w:szCs w:val="22"/>
        </w:rPr>
        <w:t>rocedure</w:t>
      </w:r>
      <w:proofErr w:type="gramEnd"/>
      <w:r>
        <w:rPr>
          <w:sz w:val="22"/>
          <w:szCs w:val="22"/>
        </w:rPr>
        <w:t xml:space="preserve"> 26(f).  The joint discovery p</w:t>
      </w:r>
      <w:r w:rsidR="000E46B9">
        <w:rPr>
          <w:sz w:val="22"/>
          <w:szCs w:val="22"/>
        </w:rPr>
        <w:t xml:space="preserve">lan must be filed on the docket </w:t>
      </w:r>
      <w:r w:rsidR="00955D8B">
        <w:rPr>
          <w:b/>
          <w:sz w:val="22"/>
          <w:szCs w:val="22"/>
        </w:rPr>
        <w:t>one week before the Court’s scheduling conference</w:t>
      </w:r>
      <w:r w:rsidRPr="000E46B9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The joint discovery plan must address the following matters:</w:t>
      </w:r>
    </w:p>
    <w:p w14:paraId="31E83181" w14:textId="77777777" w:rsidR="00111603" w:rsidRDefault="00111603" w:rsidP="00D43E9F">
      <w:pPr>
        <w:ind w:right="-180"/>
        <w:jc w:val="both"/>
        <w:rPr>
          <w:sz w:val="22"/>
          <w:szCs w:val="22"/>
        </w:rPr>
      </w:pPr>
    </w:p>
    <w:p w14:paraId="33BFF110" w14:textId="77777777" w:rsidR="00111603" w:rsidRPr="00C33518" w:rsidRDefault="00111603" w:rsidP="00D43E9F">
      <w:pPr>
        <w:pStyle w:val="ListParagraph"/>
        <w:numPr>
          <w:ilvl w:val="0"/>
          <w:numId w:val="2"/>
        </w:numPr>
        <w:ind w:left="990" w:right="-180" w:hanging="270"/>
        <w:jc w:val="both"/>
        <w:rPr>
          <w:sz w:val="22"/>
          <w:szCs w:val="22"/>
        </w:rPr>
      </w:pPr>
      <w:proofErr w:type="gramStart"/>
      <w:r w:rsidRPr="00C33518">
        <w:rPr>
          <w:sz w:val="22"/>
          <w:szCs w:val="22"/>
        </w:rPr>
        <w:t>a brief summary</w:t>
      </w:r>
      <w:proofErr w:type="gramEnd"/>
      <w:r w:rsidRPr="00C33518">
        <w:rPr>
          <w:sz w:val="22"/>
          <w:szCs w:val="22"/>
        </w:rPr>
        <w:t xml:space="preserve"> of the case</w:t>
      </w:r>
    </w:p>
    <w:p w14:paraId="658FCC6D" w14:textId="77777777" w:rsidR="00111603" w:rsidRDefault="00111603" w:rsidP="00D43E9F">
      <w:pPr>
        <w:pStyle w:val="Level1"/>
        <w:numPr>
          <w:ilvl w:val="0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right="-1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D4B78">
        <w:rPr>
          <w:sz w:val="22"/>
          <w:szCs w:val="22"/>
        </w:rPr>
        <w:t xml:space="preserve">the basis for </w:t>
      </w:r>
      <w:r>
        <w:rPr>
          <w:sz w:val="22"/>
          <w:szCs w:val="22"/>
        </w:rPr>
        <w:t>subject matter jurisdiction</w:t>
      </w:r>
    </w:p>
    <w:p w14:paraId="58A254BA" w14:textId="77777777" w:rsidR="00111603" w:rsidRDefault="00111603" w:rsidP="00D43E9F">
      <w:pPr>
        <w:pStyle w:val="Level1"/>
        <w:numPr>
          <w:ilvl w:val="0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right="-1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D4B7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relationship </w:t>
      </w:r>
      <w:r w:rsidR="00AD4B78">
        <w:rPr>
          <w:sz w:val="22"/>
          <w:szCs w:val="22"/>
        </w:rPr>
        <w:t xml:space="preserve">of this case </w:t>
      </w:r>
      <w:r>
        <w:rPr>
          <w:sz w:val="22"/>
          <w:szCs w:val="22"/>
        </w:rPr>
        <w:t>to other cases</w:t>
      </w:r>
    </w:p>
    <w:p w14:paraId="66994952" w14:textId="77777777" w:rsidR="00111603" w:rsidRDefault="00111603" w:rsidP="00D43E9F">
      <w:pPr>
        <w:pStyle w:val="Level1"/>
        <w:numPr>
          <w:ilvl w:val="0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right="-1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D4B78">
        <w:rPr>
          <w:sz w:val="22"/>
          <w:szCs w:val="22"/>
        </w:rPr>
        <w:t xml:space="preserve">contemplated </w:t>
      </w:r>
      <w:r>
        <w:rPr>
          <w:sz w:val="22"/>
          <w:szCs w:val="22"/>
        </w:rPr>
        <w:t>amendment</w:t>
      </w:r>
      <w:r w:rsidR="00DB4509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="00DB4509">
        <w:rPr>
          <w:sz w:val="22"/>
          <w:szCs w:val="22"/>
        </w:rPr>
        <w:t>)</w:t>
      </w:r>
      <w:r>
        <w:rPr>
          <w:sz w:val="22"/>
          <w:szCs w:val="22"/>
        </w:rPr>
        <w:t xml:space="preserve"> of pleadings to add or delete claims, defenses</w:t>
      </w:r>
      <w:r w:rsidR="00AD4B78">
        <w:rPr>
          <w:sz w:val="22"/>
          <w:szCs w:val="22"/>
        </w:rPr>
        <w:t>,</w:t>
      </w:r>
      <w:r>
        <w:rPr>
          <w:sz w:val="22"/>
          <w:szCs w:val="22"/>
        </w:rPr>
        <w:t xml:space="preserve"> or parties</w:t>
      </w:r>
    </w:p>
    <w:p w14:paraId="219EC241" w14:textId="77777777" w:rsidR="00111603" w:rsidRDefault="00111603" w:rsidP="00D43E9F">
      <w:pPr>
        <w:pStyle w:val="Level1"/>
        <w:numPr>
          <w:ilvl w:val="0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right="-1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anticipated discovery disputes and discovery progress</w:t>
      </w:r>
    </w:p>
    <w:p w14:paraId="628F0DEE" w14:textId="77777777" w:rsidR="00111603" w:rsidRDefault="00111603" w:rsidP="00D43E9F">
      <w:pPr>
        <w:pStyle w:val="Level1"/>
        <w:numPr>
          <w:ilvl w:val="0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right="-1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facilitation/arbitration/case evaluation</w:t>
      </w:r>
    </w:p>
    <w:p w14:paraId="251646E5" w14:textId="77777777" w:rsidR="00111603" w:rsidRDefault="00DB4509" w:rsidP="00D43E9F">
      <w:pPr>
        <w:pStyle w:val="Level1"/>
        <w:numPr>
          <w:ilvl w:val="0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right="-1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anticipated motion practice</w:t>
      </w:r>
    </w:p>
    <w:p w14:paraId="62AA7417" w14:textId="77777777" w:rsidR="00111603" w:rsidRDefault="00111603" w:rsidP="00D43E9F">
      <w:pPr>
        <w:pStyle w:val="Level1"/>
        <w:numPr>
          <w:ilvl w:val="0"/>
          <w:numId w:val="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right="-18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settlement</w:t>
      </w:r>
    </w:p>
    <w:p w14:paraId="40347956" w14:textId="77777777" w:rsidR="00111603" w:rsidRDefault="00111603" w:rsidP="00D43E9F">
      <w:pPr>
        <w:pStyle w:val="Level1"/>
        <w:ind w:right="-180"/>
        <w:jc w:val="both"/>
        <w:rPr>
          <w:sz w:val="22"/>
          <w:szCs w:val="22"/>
        </w:rPr>
      </w:pPr>
    </w:p>
    <w:p w14:paraId="381FB00F" w14:textId="77777777" w:rsidR="006677B3" w:rsidRDefault="00111603" w:rsidP="00D43E9F">
      <w:pPr>
        <w:pStyle w:val="Level1"/>
        <w:ind w:left="90" w:right="-180" w:firstLine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addition, the plan </w:t>
      </w:r>
      <w:r w:rsidRPr="00AD4B78">
        <w:rPr>
          <w:b/>
          <w:sz w:val="22"/>
          <w:szCs w:val="22"/>
        </w:rPr>
        <w:t>must set forth proposed dates</w:t>
      </w:r>
      <w:r>
        <w:rPr>
          <w:sz w:val="22"/>
          <w:szCs w:val="22"/>
        </w:rPr>
        <w:t xml:space="preserve"> for </w:t>
      </w:r>
      <w:proofErr w:type="gramStart"/>
      <w:r>
        <w:rPr>
          <w:sz w:val="22"/>
          <w:szCs w:val="22"/>
        </w:rPr>
        <w:t>all of</w:t>
      </w:r>
      <w:proofErr w:type="gramEnd"/>
      <w:r>
        <w:rPr>
          <w:sz w:val="22"/>
          <w:szCs w:val="22"/>
        </w:rPr>
        <w:t xml:space="preserve"> the deadlines set forth in the </w:t>
      </w:r>
      <w:r w:rsidR="00DB4509">
        <w:rPr>
          <w:sz w:val="22"/>
          <w:szCs w:val="22"/>
        </w:rPr>
        <w:t xml:space="preserve">Court’s standard </w:t>
      </w:r>
      <w:r>
        <w:rPr>
          <w:sz w:val="22"/>
          <w:szCs w:val="22"/>
        </w:rPr>
        <w:t>Case Management and Scheduling Or</w:t>
      </w:r>
      <w:r w:rsidR="00AD4B78">
        <w:rPr>
          <w:sz w:val="22"/>
          <w:szCs w:val="22"/>
        </w:rPr>
        <w:t>der, except for the following: motion cut-off dates</w:t>
      </w:r>
      <w:r>
        <w:rPr>
          <w:sz w:val="22"/>
          <w:szCs w:val="22"/>
        </w:rPr>
        <w:t>, settlement conference</w:t>
      </w:r>
      <w:r w:rsidR="00AD4B78">
        <w:rPr>
          <w:sz w:val="22"/>
          <w:szCs w:val="22"/>
        </w:rPr>
        <w:t xml:space="preserve"> date</w:t>
      </w:r>
      <w:r>
        <w:rPr>
          <w:sz w:val="22"/>
          <w:szCs w:val="22"/>
        </w:rPr>
        <w:t xml:space="preserve">, </w:t>
      </w:r>
      <w:r w:rsidR="00AD4B78">
        <w:rPr>
          <w:sz w:val="22"/>
          <w:szCs w:val="22"/>
        </w:rPr>
        <w:t xml:space="preserve">due date for the </w:t>
      </w:r>
      <w:r>
        <w:rPr>
          <w:sz w:val="22"/>
          <w:szCs w:val="22"/>
        </w:rPr>
        <w:t xml:space="preserve">final pretrial order, </w:t>
      </w:r>
      <w:r w:rsidR="00AD4B78">
        <w:rPr>
          <w:sz w:val="22"/>
          <w:szCs w:val="22"/>
        </w:rPr>
        <w:t xml:space="preserve">date for </w:t>
      </w:r>
      <w:r>
        <w:rPr>
          <w:sz w:val="22"/>
          <w:szCs w:val="22"/>
        </w:rPr>
        <w:t>final pretrial conference</w:t>
      </w:r>
      <w:r w:rsidR="00AD4B78">
        <w:rPr>
          <w:sz w:val="22"/>
          <w:szCs w:val="22"/>
        </w:rPr>
        <w:t>,</w:t>
      </w:r>
      <w:r>
        <w:rPr>
          <w:sz w:val="22"/>
          <w:szCs w:val="22"/>
        </w:rPr>
        <w:t xml:space="preserve"> and trial date.</w:t>
      </w:r>
      <w:r w:rsidR="00AD4B78">
        <w:rPr>
          <w:sz w:val="22"/>
          <w:szCs w:val="22"/>
        </w:rPr>
        <w:t xml:space="preserve">  In submitting proposed dates, counsel should bear in mind the Court’s standard case timeline:</w:t>
      </w:r>
    </w:p>
    <w:p w14:paraId="32B204CB" w14:textId="77777777" w:rsidR="000C6DBB" w:rsidRDefault="000C6DBB" w:rsidP="008D3B6A">
      <w:pPr>
        <w:pStyle w:val="Level1"/>
        <w:ind w:left="90" w:right="-360" w:firstLine="630"/>
        <w:jc w:val="both"/>
        <w:rPr>
          <w:sz w:val="22"/>
          <w:szCs w:val="22"/>
        </w:rPr>
      </w:pPr>
    </w:p>
    <w:p w14:paraId="726EB550" w14:textId="77777777" w:rsidR="006456D1" w:rsidRDefault="006456D1" w:rsidP="008D3B6A">
      <w:pPr>
        <w:pStyle w:val="Level1"/>
        <w:ind w:left="90" w:right="-360" w:firstLine="630"/>
        <w:jc w:val="both"/>
        <w:rPr>
          <w:sz w:val="22"/>
          <w:szCs w:val="22"/>
        </w:rPr>
      </w:pPr>
    </w:p>
    <w:p w14:paraId="4B953BB5" w14:textId="77777777" w:rsidR="004538FB" w:rsidRDefault="004538FB" w:rsidP="008D3B6A">
      <w:pPr>
        <w:pStyle w:val="Level1"/>
        <w:ind w:left="90" w:right="-360" w:firstLine="630"/>
        <w:jc w:val="both"/>
        <w:rPr>
          <w:sz w:val="22"/>
          <w:szCs w:val="22"/>
        </w:rPr>
      </w:pPr>
    </w:p>
    <w:p w14:paraId="1C2EA88A" w14:textId="77777777" w:rsidR="006456D1" w:rsidRDefault="006456D1" w:rsidP="008D3B6A">
      <w:pPr>
        <w:pStyle w:val="Level1"/>
        <w:ind w:left="90" w:right="-360" w:firstLine="630"/>
        <w:jc w:val="both"/>
        <w:rPr>
          <w:sz w:val="22"/>
          <w:szCs w:val="22"/>
        </w:rPr>
      </w:pPr>
    </w:p>
    <w:p w14:paraId="45046DF4" w14:textId="77777777" w:rsidR="006126C1" w:rsidRDefault="006126C1" w:rsidP="008D3B6A">
      <w:pPr>
        <w:pStyle w:val="Level1"/>
        <w:ind w:left="90" w:right="-360" w:firstLine="630"/>
        <w:jc w:val="both"/>
        <w:rPr>
          <w:sz w:val="22"/>
          <w:szCs w:val="22"/>
        </w:rPr>
      </w:pPr>
    </w:p>
    <w:p w14:paraId="55FB0FD8" w14:textId="77777777" w:rsidR="00FC49F4" w:rsidRDefault="00FC49F4" w:rsidP="008D3B6A">
      <w:pPr>
        <w:pStyle w:val="Level1"/>
        <w:ind w:left="90" w:right="-360" w:firstLine="630"/>
        <w:jc w:val="both"/>
        <w:rPr>
          <w:sz w:val="22"/>
          <w:szCs w:val="22"/>
        </w:rPr>
      </w:pPr>
    </w:p>
    <w:p w14:paraId="1B9BA205" w14:textId="18585DC5" w:rsidR="00B84841" w:rsidRDefault="00B84841" w:rsidP="008D3B6A">
      <w:pPr>
        <w:pStyle w:val="Level1"/>
        <w:ind w:left="90" w:right="-360" w:firstLine="630"/>
        <w:jc w:val="both"/>
        <w:rPr>
          <w:sz w:val="22"/>
          <w:szCs w:val="22"/>
        </w:rPr>
      </w:pPr>
    </w:p>
    <w:p w14:paraId="11121467" w14:textId="77777777" w:rsidR="002C2BAE" w:rsidRDefault="002C2BAE" w:rsidP="008D3B6A">
      <w:pPr>
        <w:pStyle w:val="Level1"/>
        <w:ind w:left="90" w:right="-360" w:firstLine="630"/>
        <w:jc w:val="both"/>
        <w:rPr>
          <w:sz w:val="22"/>
          <w:szCs w:val="22"/>
        </w:rPr>
      </w:pPr>
    </w:p>
    <w:p w14:paraId="3CA35768" w14:textId="77777777" w:rsidR="008178B1" w:rsidRDefault="008178B1" w:rsidP="008D3B6A">
      <w:pPr>
        <w:pStyle w:val="Level1"/>
        <w:ind w:left="90" w:right="-360" w:firstLine="630"/>
        <w:jc w:val="both"/>
        <w:rPr>
          <w:sz w:val="22"/>
          <w:szCs w:val="22"/>
        </w:rPr>
      </w:pPr>
    </w:p>
    <w:p w14:paraId="615D1675" w14:textId="77777777" w:rsidR="00F917B3" w:rsidRDefault="00F917B3" w:rsidP="008D3B6A">
      <w:pPr>
        <w:pStyle w:val="Level1"/>
        <w:ind w:left="90" w:right="-360" w:firstLine="630"/>
        <w:jc w:val="both"/>
        <w:rPr>
          <w:sz w:val="22"/>
          <w:szCs w:val="22"/>
        </w:rPr>
      </w:pPr>
    </w:p>
    <w:tbl>
      <w:tblPr>
        <w:tblW w:w="960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800"/>
        <w:gridCol w:w="4800"/>
      </w:tblGrid>
      <w:tr w:rsidR="00CE1244" w14:paraId="2B7128BF" w14:textId="77777777" w:rsidTr="008178B1">
        <w:trPr>
          <w:trHeight w:val="408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337300" w14:textId="77777777" w:rsidR="00CE1244" w:rsidRPr="00CE1244" w:rsidRDefault="00DB4509" w:rsidP="008178B1">
            <w:pPr>
              <w:spacing w:before="100" w:after="56"/>
              <w:ind w:left="-190"/>
              <w:jc w:val="center"/>
              <w:rPr>
                <w:sz w:val="22"/>
                <w:szCs w:val="22"/>
              </w:rPr>
            </w:pPr>
            <w:r w:rsidRPr="00DB4509">
              <w:rPr>
                <w:color w:val="000000"/>
                <w:sz w:val="22"/>
                <w:szCs w:val="22"/>
              </w:rPr>
              <w:t xml:space="preserve"> </w:t>
            </w:r>
            <w:r w:rsidRPr="00DB4509">
              <w:rPr>
                <w:color w:val="000000"/>
                <w:sz w:val="22"/>
                <w:szCs w:val="22"/>
              </w:rPr>
              <w:tab/>
            </w:r>
            <w:r w:rsidR="00CE1244" w:rsidRPr="00CE1244">
              <w:rPr>
                <w:b/>
                <w:bCs/>
                <w:sz w:val="22"/>
                <w:szCs w:val="22"/>
                <w:u w:val="single"/>
              </w:rPr>
              <w:t>EVENT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FCFA171" w14:textId="77777777" w:rsidR="00CE1244" w:rsidRPr="00CE1244" w:rsidRDefault="00CE1244" w:rsidP="00CE1244">
            <w:pPr>
              <w:spacing w:before="100" w:after="56"/>
              <w:jc w:val="center"/>
              <w:rPr>
                <w:sz w:val="22"/>
                <w:szCs w:val="22"/>
              </w:rPr>
            </w:pPr>
            <w:r w:rsidRPr="00CE1244">
              <w:rPr>
                <w:b/>
                <w:bCs/>
                <w:sz w:val="22"/>
                <w:szCs w:val="22"/>
                <w:u w:val="single"/>
              </w:rPr>
              <w:t>DEADLINE</w:t>
            </w:r>
          </w:p>
        </w:tc>
      </w:tr>
      <w:tr w:rsidR="00CE1244" w14:paraId="75F3DA2D" w14:textId="77777777" w:rsidTr="008178B1">
        <w:trPr>
          <w:trHeight w:val="424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34DFCF" w14:textId="77777777" w:rsidR="00CE1244" w:rsidRDefault="00CE1244" w:rsidP="00CE1244">
            <w:pPr>
              <w:spacing w:before="100" w:after="56"/>
              <w:jc w:val="both"/>
            </w:pPr>
            <w:r>
              <w:t>Initial Disclosures under Fed. R. Civ. P. 26(a)(1)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7AD96D" w14:textId="77777777" w:rsidR="00CE1244" w:rsidRDefault="00CE1244" w:rsidP="00CE1244">
            <w:pPr>
              <w:spacing w:before="100" w:after="56"/>
              <w:jc w:val="both"/>
            </w:pPr>
            <w:r>
              <w:rPr>
                <w:color w:val="000000"/>
                <w:sz w:val="22"/>
                <w:szCs w:val="22"/>
              </w:rPr>
              <w:t>Four</w:t>
            </w:r>
            <w:r w:rsidRPr="006677B3">
              <w:rPr>
                <w:color w:val="000000"/>
                <w:sz w:val="22"/>
                <w:szCs w:val="22"/>
              </w:rPr>
              <w:t xml:space="preserve"> weeks after issuance of </w:t>
            </w:r>
            <w:r>
              <w:rPr>
                <w:color w:val="000000"/>
                <w:sz w:val="22"/>
                <w:szCs w:val="22"/>
              </w:rPr>
              <w:t xml:space="preserve">the </w:t>
            </w:r>
            <w:r w:rsidRPr="006677B3">
              <w:rPr>
                <w:color w:val="000000"/>
                <w:sz w:val="22"/>
                <w:szCs w:val="22"/>
              </w:rPr>
              <w:t>scheduling order</w:t>
            </w:r>
          </w:p>
        </w:tc>
      </w:tr>
      <w:tr w:rsidR="00CE1244" w14:paraId="6B9DDF2B" w14:textId="77777777" w:rsidTr="008178B1">
        <w:trPr>
          <w:trHeight w:val="408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05D74D" w14:textId="77777777" w:rsidR="00CE1244" w:rsidRDefault="00CE1244" w:rsidP="00CE1244">
            <w:pPr>
              <w:spacing w:before="100" w:after="56"/>
              <w:jc w:val="both"/>
            </w:pPr>
            <w:r>
              <w:t>Lay Witness List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216EA1" w14:textId="67290827" w:rsidR="00CE1244" w:rsidRDefault="00CE1244" w:rsidP="00CE1244">
            <w:pPr>
              <w:spacing w:before="100" w:after="56"/>
              <w:jc w:val="both"/>
            </w:pPr>
            <w:r>
              <w:rPr>
                <w:color w:val="000000"/>
                <w:sz w:val="22"/>
                <w:szCs w:val="22"/>
              </w:rPr>
              <w:t>Six</w:t>
            </w:r>
            <w:r w:rsidRPr="006677B3">
              <w:rPr>
                <w:color w:val="000000"/>
                <w:sz w:val="22"/>
                <w:szCs w:val="22"/>
              </w:rPr>
              <w:t xml:space="preserve"> weeks before close of </w:t>
            </w:r>
            <w:r w:rsidR="009E68F2">
              <w:rPr>
                <w:color w:val="000000"/>
                <w:sz w:val="22"/>
                <w:szCs w:val="22"/>
              </w:rPr>
              <w:t xml:space="preserve">fact </w:t>
            </w:r>
            <w:r w:rsidRPr="006677B3">
              <w:rPr>
                <w:color w:val="000000"/>
                <w:sz w:val="22"/>
                <w:szCs w:val="22"/>
              </w:rPr>
              <w:t>discovery</w:t>
            </w:r>
          </w:p>
        </w:tc>
      </w:tr>
      <w:tr w:rsidR="00CE1244" w14:paraId="65FFAEAD" w14:textId="77777777" w:rsidTr="008178B1">
        <w:trPr>
          <w:trHeight w:val="408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8755CE" w14:textId="77777777" w:rsidR="00CE1244" w:rsidRDefault="00CE1244" w:rsidP="00CE1244">
            <w:pPr>
              <w:spacing w:before="100" w:after="56"/>
              <w:jc w:val="both"/>
            </w:pPr>
            <w:r>
              <w:t>Exhibit List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F389F1" w14:textId="79CD3E8D" w:rsidR="00CE1244" w:rsidRDefault="00CE1244" w:rsidP="00CE1244">
            <w:pPr>
              <w:spacing w:before="100" w:after="56"/>
              <w:jc w:val="both"/>
            </w:pPr>
            <w:r>
              <w:rPr>
                <w:color w:val="000000"/>
                <w:sz w:val="22"/>
                <w:szCs w:val="22"/>
              </w:rPr>
              <w:t>Six</w:t>
            </w:r>
            <w:r w:rsidRPr="006677B3">
              <w:rPr>
                <w:color w:val="000000"/>
                <w:sz w:val="22"/>
                <w:szCs w:val="22"/>
              </w:rPr>
              <w:t xml:space="preserve"> weeks before close of</w:t>
            </w:r>
            <w:r w:rsidR="009E68F2">
              <w:rPr>
                <w:color w:val="000000"/>
                <w:sz w:val="22"/>
                <w:szCs w:val="22"/>
              </w:rPr>
              <w:t xml:space="preserve"> fact</w:t>
            </w:r>
            <w:r w:rsidRPr="006677B3">
              <w:rPr>
                <w:color w:val="000000"/>
                <w:sz w:val="22"/>
                <w:szCs w:val="22"/>
              </w:rPr>
              <w:t xml:space="preserve"> discovery</w:t>
            </w:r>
          </w:p>
        </w:tc>
      </w:tr>
      <w:tr w:rsidR="00CE1244" w14:paraId="3A38B473" w14:textId="77777777" w:rsidTr="008178B1">
        <w:trPr>
          <w:trHeight w:val="345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DD11AB" w14:textId="77777777" w:rsidR="00CE1244" w:rsidRDefault="00CE1244" w:rsidP="00CE1244">
            <w:pPr>
              <w:spacing w:before="100" w:after="56"/>
              <w:jc w:val="both"/>
            </w:pPr>
            <w:r>
              <w:t>Expert Witness List and Disclosure</w:t>
            </w:r>
            <w:r w:rsidR="00E252BC">
              <w:t xml:space="preserve"> under Fed. R. Civ. P. 26(a)(2)</w:t>
            </w:r>
            <w:r>
              <w:t xml:space="preserve"> - Plaintiff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FB9965" w14:textId="14BD7B07" w:rsidR="00CE1244" w:rsidRDefault="00CE1244" w:rsidP="00CE1244">
            <w:pPr>
              <w:spacing w:before="100" w:after="56"/>
              <w:jc w:val="both"/>
            </w:pPr>
            <w:r>
              <w:rPr>
                <w:color w:val="000000"/>
                <w:sz w:val="22"/>
                <w:szCs w:val="22"/>
              </w:rPr>
              <w:t>Six</w:t>
            </w:r>
            <w:r w:rsidRPr="006677B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weeks before close of </w:t>
            </w:r>
            <w:r w:rsidR="009E68F2">
              <w:rPr>
                <w:color w:val="000000"/>
                <w:sz w:val="22"/>
                <w:szCs w:val="22"/>
              </w:rPr>
              <w:t xml:space="preserve">expert </w:t>
            </w:r>
            <w:r>
              <w:rPr>
                <w:color w:val="000000"/>
                <w:sz w:val="22"/>
                <w:szCs w:val="22"/>
              </w:rPr>
              <w:t>discovery</w:t>
            </w:r>
          </w:p>
        </w:tc>
      </w:tr>
      <w:tr w:rsidR="00CE1244" w14:paraId="7EFC51BE" w14:textId="77777777" w:rsidTr="008178B1">
        <w:trPr>
          <w:trHeight w:val="62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6F63D0" w14:textId="77777777" w:rsidR="00CE1244" w:rsidRDefault="00CE1244" w:rsidP="00CE1244">
            <w:pPr>
              <w:spacing w:before="100" w:after="56"/>
              <w:jc w:val="both"/>
            </w:pPr>
            <w:r>
              <w:t>Expert Witness List and Disclosure</w:t>
            </w:r>
            <w:r w:rsidR="00E252BC">
              <w:t xml:space="preserve"> under Fed. R. Civ. P. 26(a)(2)</w:t>
            </w:r>
            <w:r>
              <w:t xml:space="preserve"> - Defendant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54F9B4" w14:textId="4DECE0FD" w:rsidR="00CE1244" w:rsidRDefault="00CE1244" w:rsidP="00CE1244">
            <w:pPr>
              <w:spacing w:before="100" w:after="56"/>
              <w:jc w:val="both"/>
            </w:pPr>
            <w:r>
              <w:rPr>
                <w:color w:val="000000"/>
                <w:sz w:val="22"/>
                <w:szCs w:val="22"/>
              </w:rPr>
              <w:t>Two</w:t>
            </w:r>
            <w:r w:rsidRPr="006677B3">
              <w:rPr>
                <w:color w:val="000000"/>
                <w:sz w:val="22"/>
                <w:szCs w:val="22"/>
              </w:rPr>
              <w:t xml:space="preserve"> weeks before close of </w:t>
            </w:r>
            <w:r w:rsidR="009E68F2">
              <w:rPr>
                <w:color w:val="000000"/>
                <w:sz w:val="22"/>
                <w:szCs w:val="22"/>
              </w:rPr>
              <w:t xml:space="preserve">expert </w:t>
            </w:r>
            <w:r w:rsidRPr="006677B3">
              <w:rPr>
                <w:color w:val="000000"/>
                <w:sz w:val="22"/>
                <w:szCs w:val="22"/>
              </w:rPr>
              <w:t>discovery</w:t>
            </w:r>
          </w:p>
        </w:tc>
      </w:tr>
      <w:tr w:rsidR="00CE1244" w14:paraId="59086660" w14:textId="77777777" w:rsidTr="008178B1">
        <w:trPr>
          <w:trHeight w:val="666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0D8E0AF" w14:textId="77777777" w:rsidR="00CE1244" w:rsidRDefault="00CE1244" w:rsidP="00CE1244">
            <w:pPr>
              <w:spacing w:before="100" w:after="56"/>
              <w:jc w:val="both"/>
            </w:pPr>
            <w:r>
              <w:t>Discovery</w:t>
            </w:r>
            <w:r w:rsidR="006E0B7C">
              <w:t xml:space="preserve"> – Fact and Expert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305A64" w14:textId="77777777" w:rsidR="00CE1244" w:rsidRDefault="00A94567" w:rsidP="00876ACB">
            <w:pPr>
              <w:spacing w:before="100" w:after="56"/>
              <w:jc w:val="both"/>
            </w:pPr>
            <w:r>
              <w:t>Four</w:t>
            </w:r>
            <w:r w:rsidR="008454A6">
              <w:t xml:space="preserve"> to </w:t>
            </w:r>
            <w:r w:rsidR="00876ACB">
              <w:t>n</w:t>
            </w:r>
            <w:r w:rsidR="00CE1244">
              <w:t xml:space="preserve">ine months after </w:t>
            </w:r>
            <w:r w:rsidR="00CE1244" w:rsidRPr="006677B3">
              <w:rPr>
                <w:color w:val="000000"/>
                <w:sz w:val="22"/>
                <w:szCs w:val="22"/>
              </w:rPr>
              <w:t xml:space="preserve">issuance of </w:t>
            </w:r>
            <w:r w:rsidR="00CE1244">
              <w:rPr>
                <w:color w:val="000000"/>
                <w:sz w:val="22"/>
                <w:szCs w:val="22"/>
              </w:rPr>
              <w:t xml:space="preserve">the </w:t>
            </w:r>
            <w:r w:rsidR="00CE1244" w:rsidRPr="006677B3">
              <w:rPr>
                <w:color w:val="000000"/>
                <w:sz w:val="22"/>
                <w:szCs w:val="22"/>
              </w:rPr>
              <w:t>scheduling order</w:t>
            </w:r>
            <w:r w:rsidR="008454A6">
              <w:rPr>
                <w:color w:val="000000"/>
                <w:sz w:val="22"/>
                <w:szCs w:val="22"/>
              </w:rPr>
              <w:t>, depending on the complexity of the case</w:t>
            </w:r>
          </w:p>
        </w:tc>
      </w:tr>
      <w:tr w:rsidR="00CE1244" w14:paraId="7913BEC8" w14:textId="77777777" w:rsidTr="008178B1">
        <w:trPr>
          <w:trHeight w:val="620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995B63" w14:textId="77777777" w:rsidR="00CE1244" w:rsidRDefault="00CE1244" w:rsidP="00CE1244">
            <w:pPr>
              <w:spacing w:before="100" w:after="56"/>
              <w:jc w:val="both"/>
            </w:pPr>
            <w:r>
              <w:t>Dispositive Motions &amp; Motions to Limit/Exclude Expert Testimony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53BA01" w14:textId="40F4B7B7" w:rsidR="00CE1244" w:rsidRDefault="00A94567" w:rsidP="00CE1244">
            <w:pPr>
              <w:spacing w:before="100" w:after="56"/>
              <w:jc w:val="both"/>
            </w:pPr>
            <w:r>
              <w:rPr>
                <w:color w:val="000000"/>
                <w:sz w:val="22"/>
                <w:szCs w:val="22"/>
              </w:rPr>
              <w:t>Fourteen days</w:t>
            </w:r>
            <w:r w:rsidR="00CE1244" w:rsidRPr="006677B3">
              <w:rPr>
                <w:color w:val="000000"/>
                <w:sz w:val="22"/>
                <w:szCs w:val="22"/>
              </w:rPr>
              <w:t xml:space="preserve"> after close </w:t>
            </w:r>
            <w:r w:rsidR="003756DD" w:rsidRPr="006677B3">
              <w:rPr>
                <w:color w:val="000000"/>
                <w:sz w:val="22"/>
                <w:szCs w:val="22"/>
              </w:rPr>
              <w:t xml:space="preserve">of </w:t>
            </w:r>
            <w:r w:rsidR="003756DD">
              <w:rPr>
                <w:color w:val="000000"/>
                <w:sz w:val="22"/>
                <w:szCs w:val="22"/>
              </w:rPr>
              <w:t>all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E1244" w:rsidRPr="006677B3">
              <w:rPr>
                <w:color w:val="000000"/>
                <w:sz w:val="22"/>
                <w:szCs w:val="22"/>
              </w:rPr>
              <w:t>discovery</w:t>
            </w:r>
          </w:p>
        </w:tc>
      </w:tr>
      <w:tr w:rsidR="00CE1244" w14:paraId="7591D2E9" w14:textId="77777777" w:rsidTr="008178B1">
        <w:trPr>
          <w:trHeight w:val="408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58AF9C4" w14:textId="77777777" w:rsidR="00CE1244" w:rsidRDefault="00CE1244" w:rsidP="00CE1244">
            <w:pPr>
              <w:spacing w:before="100" w:after="56"/>
              <w:jc w:val="both"/>
            </w:pPr>
            <w:r>
              <w:t xml:space="preserve">All Other Motions, Including Motions in </w:t>
            </w:r>
            <w:proofErr w:type="spellStart"/>
            <w:r>
              <w:t>Limine</w:t>
            </w:r>
            <w:proofErr w:type="spellEnd"/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9C9877" w14:textId="77777777" w:rsidR="00CE1244" w:rsidRDefault="00CE1244" w:rsidP="00CE1244">
            <w:pPr>
              <w:spacing w:before="100" w:after="56"/>
              <w:jc w:val="both"/>
            </w:pPr>
            <w:r>
              <w:rPr>
                <w:color w:val="000000"/>
                <w:sz w:val="22"/>
                <w:szCs w:val="22"/>
              </w:rPr>
              <w:t>Six weeks before the final pretrial conference</w:t>
            </w:r>
          </w:p>
        </w:tc>
      </w:tr>
      <w:tr w:rsidR="00CE1244" w14:paraId="7335685A" w14:textId="77777777" w:rsidTr="008178B1">
        <w:trPr>
          <w:trHeight w:val="408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5531FF" w14:textId="77777777" w:rsidR="00CE1244" w:rsidRDefault="00CE1244" w:rsidP="00CE1244">
            <w:pPr>
              <w:spacing w:before="100" w:after="56"/>
              <w:jc w:val="both"/>
            </w:pPr>
            <w:r>
              <w:t>Settlement Conference</w:t>
            </w:r>
            <w:r w:rsidR="006E0B7C">
              <w:t xml:space="preserve"> (before district judge)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6BFF7E" w14:textId="39A29587" w:rsidR="00CE1244" w:rsidRDefault="003756DD" w:rsidP="00CE1244">
            <w:pPr>
              <w:spacing w:before="100" w:after="56"/>
              <w:jc w:val="both"/>
            </w:pPr>
            <w:r>
              <w:rPr>
                <w:color w:val="000000"/>
                <w:sz w:val="22"/>
                <w:szCs w:val="22"/>
              </w:rPr>
              <w:t>Four months</w:t>
            </w:r>
            <w:r w:rsidR="00CE1244">
              <w:rPr>
                <w:color w:val="000000"/>
                <w:sz w:val="22"/>
                <w:szCs w:val="22"/>
              </w:rPr>
              <w:t xml:space="preserve"> after the dispositive motion cutoff date</w:t>
            </w:r>
          </w:p>
        </w:tc>
      </w:tr>
      <w:tr w:rsidR="00195D8E" w14:paraId="4C4A7707" w14:textId="77777777" w:rsidTr="008178B1">
        <w:trPr>
          <w:trHeight w:val="408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F12DE5" w14:textId="77777777" w:rsidR="00195D8E" w:rsidRDefault="00195D8E" w:rsidP="00195D8E">
            <w:pPr>
              <w:spacing w:before="100" w:after="56"/>
              <w:jc w:val="both"/>
            </w:pPr>
            <w:r>
              <w:t>Joint Final Pretrial Order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7A84EE" w14:textId="292DA359" w:rsidR="00195D8E" w:rsidRPr="00751E69" w:rsidRDefault="00195D8E" w:rsidP="00195D8E">
            <w:pPr>
              <w:spacing w:before="100" w:after="56"/>
              <w:jc w:val="both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Six weeks before the final pretrial conference</w:t>
            </w:r>
          </w:p>
        </w:tc>
      </w:tr>
      <w:tr w:rsidR="00195D8E" w14:paraId="0D0369A9" w14:textId="77777777" w:rsidTr="008178B1">
        <w:trPr>
          <w:trHeight w:val="424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C515D7" w14:textId="77777777" w:rsidR="00195D8E" w:rsidRDefault="00195D8E" w:rsidP="00195D8E">
            <w:pPr>
              <w:spacing w:before="100" w:after="56"/>
              <w:jc w:val="both"/>
            </w:pPr>
            <w:r>
              <w:t>Final Pretrial Conference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E3D231" w14:textId="77777777" w:rsidR="00195D8E" w:rsidRDefault="00195D8E" w:rsidP="00195D8E">
            <w:pPr>
              <w:spacing w:before="100" w:after="56"/>
              <w:jc w:val="both"/>
            </w:pPr>
            <w:r>
              <w:rPr>
                <w:color w:val="000000"/>
                <w:sz w:val="22"/>
                <w:szCs w:val="22"/>
              </w:rPr>
              <w:t>Two weeks after pretrial order due</w:t>
            </w:r>
          </w:p>
        </w:tc>
      </w:tr>
      <w:tr w:rsidR="00195D8E" w14:paraId="50779523" w14:textId="77777777" w:rsidTr="008178B1">
        <w:trPr>
          <w:trHeight w:val="666"/>
        </w:trPr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F93349" w14:textId="71FD83AC" w:rsidR="00195D8E" w:rsidRDefault="007F0F8B" w:rsidP="00195D8E">
            <w:pPr>
              <w:spacing w:before="100" w:after="56"/>
              <w:jc w:val="both"/>
            </w:pPr>
            <w:r>
              <w:rPr>
                <w:noProof/>
              </w:rPr>
              <w:pict w14:anchorId="243349EF">
                <v:rect id="Rectangle 7" o:spid="_x0000_s1027" style="position:absolute;left:0;text-align:left;margin-left:55.8pt;margin-top:564.95pt;width:10.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WDCQIAABUEAAAOAAAAZHJzL2Uyb0RvYy54bWysU9uO2yAQfa/Uf0C8N46jpJtYcVarbFNV&#10;2nYrbfsBBGMbFRg6kDjp13cg2Wx6earKA2IYOJw5c1jeHqxhe4VBg6t5ORpzppyERruu5l+/bN7M&#10;OQ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"/>
              </w:pict>
            </w:r>
            <w:r>
              <w:rPr>
                <w:noProof/>
              </w:rPr>
              <w:pict w14:anchorId="2E43543C">
                <v:rect id="Rectangle 6" o:spid="_x0000_s1026" style="position:absolute;left:0;text-align:left;margin-left:55.8pt;margin-top:564.95pt;width:10.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WDCQIAABUEAAAOAAAAZHJzL2Uyb0RvYy54bWysU9uO2yAQfa/Uf0C8N46jpJtYcVarbFNV&#10;2nYrbfsBBGMbFRg6kDjp13cg2Wx6earKA2IYOJw5c1jeHqxhe4VBg6t5ORpzppyERruu5l+/bN7M&#10;OQ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"/>
              </w:pict>
            </w:r>
            <w:r w:rsidR="00195D8E">
              <w:t xml:space="preserve">Trial 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6EE2" w14:textId="00DAC61A" w:rsidR="00195D8E" w:rsidRDefault="00915849" w:rsidP="00195D8E">
            <w:pPr>
              <w:spacing w:before="100" w:after="56"/>
              <w:jc w:val="both"/>
            </w:pPr>
            <w:r>
              <w:rPr>
                <w:color w:val="000000"/>
                <w:sz w:val="22"/>
                <w:szCs w:val="22"/>
              </w:rPr>
              <w:t>Tuesday</w:t>
            </w:r>
            <w:r w:rsidR="00195D8E">
              <w:rPr>
                <w:color w:val="000000"/>
                <w:sz w:val="22"/>
                <w:szCs w:val="22"/>
              </w:rPr>
              <w:t xml:space="preserve"> two weeks following the pretrial conference</w:t>
            </w:r>
          </w:p>
        </w:tc>
      </w:tr>
    </w:tbl>
    <w:p w14:paraId="16A15308" w14:textId="77777777" w:rsidR="00CE1244" w:rsidRDefault="00CE1244" w:rsidP="006677B3">
      <w:pPr>
        <w:rPr>
          <w:color w:val="000000"/>
          <w:sz w:val="22"/>
          <w:szCs w:val="22"/>
        </w:rPr>
      </w:pPr>
    </w:p>
    <w:p w14:paraId="45FB2249" w14:textId="77777777" w:rsidR="00C1235F" w:rsidRDefault="00D43E9F" w:rsidP="00D43E9F">
      <w:pPr>
        <w:ind w:right="-2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B03F5B">
        <w:rPr>
          <w:color w:val="000000"/>
          <w:sz w:val="22"/>
          <w:szCs w:val="22"/>
        </w:rPr>
        <w:t xml:space="preserve">While the Court typically affords counsel </w:t>
      </w:r>
      <w:r w:rsidR="000B6D09">
        <w:rPr>
          <w:color w:val="000000"/>
          <w:sz w:val="22"/>
          <w:szCs w:val="22"/>
        </w:rPr>
        <w:t>wide</w:t>
      </w:r>
      <w:r w:rsidR="00B03F5B">
        <w:rPr>
          <w:color w:val="000000"/>
          <w:sz w:val="22"/>
          <w:szCs w:val="22"/>
        </w:rPr>
        <w:t xml:space="preserve"> latitude in fashioning deadlines for the first </w:t>
      </w:r>
      <w:r w:rsidR="000B6D09">
        <w:rPr>
          <w:color w:val="000000"/>
          <w:sz w:val="22"/>
          <w:szCs w:val="22"/>
        </w:rPr>
        <w:t>six</w:t>
      </w:r>
      <w:r w:rsidR="00B03F5B">
        <w:rPr>
          <w:color w:val="000000"/>
          <w:sz w:val="22"/>
          <w:szCs w:val="22"/>
        </w:rPr>
        <w:t xml:space="preserve"> events listed in th</w:t>
      </w:r>
      <w:r w:rsidR="006E0B7C">
        <w:rPr>
          <w:color w:val="000000"/>
          <w:sz w:val="22"/>
          <w:szCs w:val="22"/>
        </w:rPr>
        <w:t>e chart above, the Court is not</w:t>
      </w:r>
      <w:r w:rsidR="00B03F5B">
        <w:rPr>
          <w:color w:val="000000"/>
          <w:sz w:val="22"/>
          <w:szCs w:val="22"/>
        </w:rPr>
        <w:t xml:space="preserve"> inclined to </w:t>
      </w:r>
      <w:r w:rsidR="00FD7B44">
        <w:rPr>
          <w:color w:val="000000"/>
          <w:sz w:val="22"/>
          <w:szCs w:val="22"/>
        </w:rPr>
        <w:t>deviate significantly from its general case timeline in setting dead</w:t>
      </w:r>
      <w:r w:rsidR="006E0B7C">
        <w:rPr>
          <w:color w:val="000000"/>
          <w:sz w:val="22"/>
          <w:szCs w:val="22"/>
        </w:rPr>
        <w:t>lines for the remaining events, unless the circumstances of a particular case require it.</w:t>
      </w:r>
    </w:p>
    <w:p w14:paraId="4E5F3631" w14:textId="77777777" w:rsidR="00FD7B44" w:rsidRDefault="00FD7B44" w:rsidP="00D43E9F">
      <w:pPr>
        <w:jc w:val="both"/>
        <w:rPr>
          <w:color w:val="000000"/>
          <w:sz w:val="22"/>
          <w:szCs w:val="22"/>
        </w:rPr>
      </w:pPr>
    </w:p>
    <w:p w14:paraId="35AED051" w14:textId="77777777" w:rsidR="006677B3" w:rsidRDefault="00AD4B78" w:rsidP="00D43E9F">
      <w:pPr>
        <w:ind w:right="-27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After</w:t>
      </w:r>
      <w:r w:rsidR="006677B3">
        <w:rPr>
          <w:color w:val="000000"/>
          <w:sz w:val="22"/>
          <w:szCs w:val="22"/>
        </w:rPr>
        <w:t xml:space="preserve"> review of the submitted joint discovery plan, </w:t>
      </w:r>
      <w:r>
        <w:rPr>
          <w:color w:val="000000"/>
          <w:sz w:val="22"/>
          <w:szCs w:val="22"/>
        </w:rPr>
        <w:t xml:space="preserve">the Court </w:t>
      </w:r>
      <w:r w:rsidR="006677B3">
        <w:rPr>
          <w:color w:val="000000"/>
          <w:sz w:val="22"/>
          <w:szCs w:val="22"/>
        </w:rPr>
        <w:t xml:space="preserve">will determine whether </w:t>
      </w:r>
      <w:r w:rsidR="00DB4509">
        <w:rPr>
          <w:color w:val="000000"/>
          <w:sz w:val="22"/>
          <w:szCs w:val="22"/>
        </w:rPr>
        <w:t>the above-scheduled</w:t>
      </w:r>
      <w:r w:rsidR="006677B3">
        <w:rPr>
          <w:color w:val="000000"/>
          <w:sz w:val="22"/>
          <w:szCs w:val="22"/>
        </w:rPr>
        <w:t xml:space="preserve"> conference is needed.  If </w:t>
      </w:r>
      <w:r>
        <w:rPr>
          <w:color w:val="000000"/>
          <w:sz w:val="22"/>
          <w:szCs w:val="22"/>
        </w:rPr>
        <w:t>the Court determines</w:t>
      </w:r>
      <w:r w:rsidR="006677B3">
        <w:rPr>
          <w:color w:val="000000"/>
          <w:sz w:val="22"/>
          <w:szCs w:val="22"/>
        </w:rPr>
        <w:t xml:space="preserve"> that a conference is not needed, the</w:t>
      </w:r>
      <w:r w:rsidR="00DB4509">
        <w:rPr>
          <w:color w:val="000000"/>
          <w:sz w:val="22"/>
          <w:szCs w:val="22"/>
        </w:rPr>
        <w:t xml:space="preserve"> Court will issue an order cancelling the above-scheduled</w:t>
      </w:r>
      <w:r>
        <w:rPr>
          <w:color w:val="000000"/>
          <w:sz w:val="22"/>
          <w:szCs w:val="22"/>
        </w:rPr>
        <w:t xml:space="preserve"> </w:t>
      </w:r>
      <w:r w:rsidR="00CE1244">
        <w:rPr>
          <w:color w:val="000000"/>
          <w:sz w:val="22"/>
          <w:szCs w:val="22"/>
        </w:rPr>
        <w:t xml:space="preserve">conference </w:t>
      </w:r>
      <w:r w:rsidR="006677B3">
        <w:rPr>
          <w:color w:val="000000"/>
          <w:sz w:val="22"/>
          <w:szCs w:val="22"/>
        </w:rPr>
        <w:t xml:space="preserve">and a scheduling order will be issued.  If </w:t>
      </w:r>
      <w:r>
        <w:rPr>
          <w:color w:val="000000"/>
          <w:sz w:val="22"/>
          <w:szCs w:val="22"/>
        </w:rPr>
        <w:t xml:space="preserve">the Court determines that </w:t>
      </w:r>
      <w:r w:rsidR="006677B3">
        <w:rPr>
          <w:color w:val="000000"/>
          <w:sz w:val="22"/>
          <w:szCs w:val="22"/>
        </w:rPr>
        <w:t xml:space="preserve">a conference is needed, </w:t>
      </w:r>
      <w:r w:rsidR="00DB4509">
        <w:rPr>
          <w:color w:val="000000"/>
          <w:sz w:val="22"/>
          <w:szCs w:val="22"/>
        </w:rPr>
        <w:t xml:space="preserve">no scheduling order will be </w:t>
      </w:r>
      <w:proofErr w:type="gramStart"/>
      <w:r w:rsidR="00DB4509">
        <w:rPr>
          <w:color w:val="000000"/>
          <w:sz w:val="22"/>
          <w:szCs w:val="22"/>
        </w:rPr>
        <w:t>issued</w:t>
      </w:r>
      <w:proofErr w:type="gramEnd"/>
      <w:r w:rsidR="00DB4509">
        <w:rPr>
          <w:color w:val="000000"/>
          <w:sz w:val="22"/>
          <w:szCs w:val="22"/>
        </w:rPr>
        <w:t xml:space="preserve"> and the </w:t>
      </w:r>
      <w:r>
        <w:rPr>
          <w:color w:val="000000"/>
          <w:sz w:val="22"/>
          <w:szCs w:val="22"/>
        </w:rPr>
        <w:t xml:space="preserve">currently scheduled conference </w:t>
      </w:r>
      <w:r w:rsidR="006677B3">
        <w:rPr>
          <w:color w:val="000000"/>
          <w:sz w:val="22"/>
          <w:szCs w:val="22"/>
        </w:rPr>
        <w:t xml:space="preserve">will </w:t>
      </w:r>
      <w:r>
        <w:rPr>
          <w:color w:val="000000"/>
          <w:sz w:val="22"/>
          <w:szCs w:val="22"/>
        </w:rPr>
        <w:t>proceed</w:t>
      </w:r>
      <w:r w:rsidR="006677B3">
        <w:rPr>
          <w:color w:val="000000"/>
          <w:sz w:val="22"/>
          <w:szCs w:val="22"/>
        </w:rPr>
        <w:t xml:space="preserve">.  </w:t>
      </w:r>
      <w:r w:rsidR="006E0B7C">
        <w:rPr>
          <w:color w:val="000000"/>
          <w:sz w:val="22"/>
          <w:szCs w:val="22"/>
        </w:rPr>
        <w:t>You should assume the conference will proceed unless you are notified otherwise.</w:t>
      </w:r>
    </w:p>
    <w:p w14:paraId="0E7A7717" w14:textId="77777777" w:rsidR="00AD4B78" w:rsidRDefault="00AD4B78" w:rsidP="00AD4B78">
      <w:pPr>
        <w:jc w:val="both"/>
        <w:rPr>
          <w:color w:val="000000"/>
          <w:sz w:val="22"/>
          <w:szCs w:val="22"/>
        </w:rPr>
      </w:pPr>
    </w:p>
    <w:p w14:paraId="0B3761A9" w14:textId="77777777" w:rsidR="00AD4B78" w:rsidRPr="006677B3" w:rsidRDefault="00AD4B78" w:rsidP="00AD4B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SO</w:t>
      </w:r>
      <w:proofErr w:type="gramEnd"/>
      <w:r>
        <w:rPr>
          <w:color w:val="000000"/>
          <w:sz w:val="22"/>
          <w:szCs w:val="22"/>
        </w:rPr>
        <w:t xml:space="preserve"> ORDERED.</w:t>
      </w:r>
    </w:p>
    <w:p w14:paraId="66AA3BA0" w14:textId="095EBC50" w:rsidR="006677B3" w:rsidRPr="005C2977" w:rsidRDefault="001E6451" w:rsidP="006677B3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</w:p>
    <w:p w14:paraId="2BBE61E9" w14:textId="234FA4D9" w:rsidR="00111603" w:rsidRDefault="00111603" w:rsidP="00111603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Dated:  </w:t>
      </w:r>
      <w:r w:rsidR="00203154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DATE \@ "MMMM d, yyyy" </w:instrText>
      </w:r>
      <w:r w:rsidR="00203154">
        <w:rPr>
          <w:sz w:val="22"/>
          <w:szCs w:val="22"/>
        </w:rPr>
        <w:fldChar w:fldCharType="separate"/>
      </w:r>
      <w:r w:rsidR="00CA4C8D">
        <w:rPr>
          <w:noProof/>
          <w:sz w:val="22"/>
          <w:szCs w:val="22"/>
        </w:rPr>
        <w:t>April 23, 2025</w:t>
      </w:r>
      <w:r w:rsidR="00203154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E6451">
        <w:rPr>
          <w:sz w:val="22"/>
          <w:szCs w:val="22"/>
        </w:rPr>
        <w:tab/>
      </w:r>
      <w:r w:rsidR="00EB4B5F">
        <w:rPr>
          <w:sz w:val="22"/>
          <w:szCs w:val="22"/>
        </w:rPr>
        <w:tab/>
      </w:r>
      <w:r w:rsidR="00090AB0">
        <w:rPr>
          <w:sz w:val="22"/>
          <w:szCs w:val="22"/>
        </w:rPr>
        <w:tab/>
      </w:r>
      <w:r w:rsidR="00434153">
        <w:rPr>
          <w:sz w:val="22"/>
          <w:szCs w:val="22"/>
        </w:rPr>
        <w:tab/>
      </w:r>
      <w:r w:rsidR="00AD1B44">
        <w:rPr>
          <w:sz w:val="22"/>
          <w:szCs w:val="22"/>
          <w:u w:val="single"/>
        </w:rPr>
        <w:t>s/Mark A. Goldsmith</w:t>
      </w:r>
      <w:r w:rsidR="00AD1B44">
        <w:rPr>
          <w:sz w:val="22"/>
          <w:szCs w:val="22"/>
          <w:u w:val="single"/>
        </w:rPr>
        <w:tab/>
      </w:r>
      <w:r w:rsidR="00AD1B44">
        <w:rPr>
          <w:sz w:val="22"/>
          <w:szCs w:val="22"/>
          <w:u w:val="single"/>
        </w:rPr>
        <w:tab/>
      </w:r>
    </w:p>
    <w:p w14:paraId="41BEF9FE" w14:textId="43057F9A" w:rsidR="00111603" w:rsidRDefault="00111603" w:rsidP="00111603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C547E">
        <w:rPr>
          <w:sz w:val="22"/>
          <w:szCs w:val="22"/>
        </w:rPr>
        <w:t>Detroit</w:t>
      </w:r>
      <w:r>
        <w:rPr>
          <w:sz w:val="22"/>
          <w:szCs w:val="22"/>
        </w:rPr>
        <w:t>, Michigan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MARK A. GOLDSMITH</w:t>
      </w:r>
    </w:p>
    <w:p w14:paraId="568950A6" w14:textId="77777777" w:rsidR="00111603" w:rsidRDefault="00111603" w:rsidP="00111603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C547E">
        <w:rPr>
          <w:sz w:val="22"/>
          <w:szCs w:val="22"/>
        </w:rPr>
        <w:tab/>
      </w:r>
      <w:r>
        <w:rPr>
          <w:sz w:val="22"/>
          <w:szCs w:val="22"/>
        </w:rPr>
        <w:t>United States District Judge</w:t>
      </w:r>
    </w:p>
    <w:p w14:paraId="6CE7E62A" w14:textId="77777777" w:rsidR="00111603" w:rsidRDefault="00111603" w:rsidP="00111603">
      <w:pPr>
        <w:numPr>
          <w:ilvl w:val="12"/>
          <w:numId w:val="0"/>
        </w:numPr>
        <w:jc w:val="both"/>
        <w:rPr>
          <w:sz w:val="22"/>
          <w:szCs w:val="22"/>
        </w:rPr>
      </w:pPr>
    </w:p>
    <w:sectPr w:rsidR="00111603" w:rsidSect="008D3B6A">
      <w:type w:val="continuous"/>
      <w:pgSz w:w="12240" w:h="15840"/>
      <w:pgMar w:top="720" w:right="1440" w:bottom="72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45632C6"/>
    <w:lvl w:ilvl="0">
      <w:numFmt w:val="bullet"/>
      <w:lvlText w:val="*"/>
      <w:lvlJc w:val="left"/>
    </w:lvl>
  </w:abstractNum>
  <w:abstractNum w:abstractNumId="1" w15:restartNumberingAfterBreak="0">
    <w:nsid w:val="7DC36D9C"/>
    <w:multiLevelType w:val="multilevel"/>
    <w:tmpl w:val="8E1E836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num w:numId="1" w16cid:durableId="1626082499">
    <w:abstractNumId w:val="1"/>
  </w:num>
  <w:num w:numId="2" w16cid:durableId="1997538240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1603"/>
    <w:rsid w:val="00002539"/>
    <w:rsid w:val="00005AEA"/>
    <w:rsid w:val="00026FC1"/>
    <w:rsid w:val="00035BBE"/>
    <w:rsid w:val="000540AB"/>
    <w:rsid w:val="00055968"/>
    <w:rsid w:val="00055EA9"/>
    <w:rsid w:val="00060A1C"/>
    <w:rsid w:val="000623FA"/>
    <w:rsid w:val="00064E5C"/>
    <w:rsid w:val="00066FBA"/>
    <w:rsid w:val="0007117C"/>
    <w:rsid w:val="00071578"/>
    <w:rsid w:val="000738FD"/>
    <w:rsid w:val="00074ABC"/>
    <w:rsid w:val="000801BC"/>
    <w:rsid w:val="000814C9"/>
    <w:rsid w:val="000828FA"/>
    <w:rsid w:val="00085A05"/>
    <w:rsid w:val="00090070"/>
    <w:rsid w:val="00090AB0"/>
    <w:rsid w:val="00091070"/>
    <w:rsid w:val="00093CEE"/>
    <w:rsid w:val="0009420C"/>
    <w:rsid w:val="000975E8"/>
    <w:rsid w:val="000A27E9"/>
    <w:rsid w:val="000B1628"/>
    <w:rsid w:val="000B507F"/>
    <w:rsid w:val="000B62F0"/>
    <w:rsid w:val="000B6D09"/>
    <w:rsid w:val="000C6DBB"/>
    <w:rsid w:val="000D1A75"/>
    <w:rsid w:val="000D3B3F"/>
    <w:rsid w:val="000D3D7C"/>
    <w:rsid w:val="000D45A7"/>
    <w:rsid w:val="000D6A3D"/>
    <w:rsid w:val="000E46B9"/>
    <w:rsid w:val="000E5029"/>
    <w:rsid w:val="000E535F"/>
    <w:rsid w:val="000E5C71"/>
    <w:rsid w:val="000F10C5"/>
    <w:rsid w:val="000F328A"/>
    <w:rsid w:val="001029FD"/>
    <w:rsid w:val="00111603"/>
    <w:rsid w:val="001216FE"/>
    <w:rsid w:val="0012300E"/>
    <w:rsid w:val="001317C1"/>
    <w:rsid w:val="00136290"/>
    <w:rsid w:val="00141EB1"/>
    <w:rsid w:val="00142F52"/>
    <w:rsid w:val="001440D1"/>
    <w:rsid w:val="0014766F"/>
    <w:rsid w:val="00156CA6"/>
    <w:rsid w:val="00157C02"/>
    <w:rsid w:val="00161E21"/>
    <w:rsid w:val="00174179"/>
    <w:rsid w:val="00176EF9"/>
    <w:rsid w:val="001815FF"/>
    <w:rsid w:val="00195D8E"/>
    <w:rsid w:val="001A53C3"/>
    <w:rsid w:val="001B1CA5"/>
    <w:rsid w:val="001B1DA1"/>
    <w:rsid w:val="001B7A69"/>
    <w:rsid w:val="001D57F6"/>
    <w:rsid w:val="001D6860"/>
    <w:rsid w:val="001D77C7"/>
    <w:rsid w:val="001E31D0"/>
    <w:rsid w:val="001E6451"/>
    <w:rsid w:val="00200403"/>
    <w:rsid w:val="00203154"/>
    <w:rsid w:val="0020599A"/>
    <w:rsid w:val="00205E8B"/>
    <w:rsid w:val="00207C8D"/>
    <w:rsid w:val="0021262F"/>
    <w:rsid w:val="00214904"/>
    <w:rsid w:val="00225B63"/>
    <w:rsid w:val="00231E14"/>
    <w:rsid w:val="002377D2"/>
    <w:rsid w:val="002453B7"/>
    <w:rsid w:val="00247C0B"/>
    <w:rsid w:val="00252940"/>
    <w:rsid w:val="002546DD"/>
    <w:rsid w:val="00255536"/>
    <w:rsid w:val="00256F27"/>
    <w:rsid w:val="00257293"/>
    <w:rsid w:val="002735A9"/>
    <w:rsid w:val="002739A2"/>
    <w:rsid w:val="00282DA1"/>
    <w:rsid w:val="002879B4"/>
    <w:rsid w:val="002A4FDF"/>
    <w:rsid w:val="002B04DE"/>
    <w:rsid w:val="002B15D7"/>
    <w:rsid w:val="002C2BAE"/>
    <w:rsid w:val="002C30EB"/>
    <w:rsid w:val="002D3E2A"/>
    <w:rsid w:val="002E2C29"/>
    <w:rsid w:val="002F2618"/>
    <w:rsid w:val="002F61A6"/>
    <w:rsid w:val="00301641"/>
    <w:rsid w:val="00303465"/>
    <w:rsid w:val="0030656F"/>
    <w:rsid w:val="00310753"/>
    <w:rsid w:val="00321D9F"/>
    <w:rsid w:val="00330168"/>
    <w:rsid w:val="00335AAD"/>
    <w:rsid w:val="003402C3"/>
    <w:rsid w:val="003412E2"/>
    <w:rsid w:val="00341B50"/>
    <w:rsid w:val="003471FC"/>
    <w:rsid w:val="0037004C"/>
    <w:rsid w:val="0037148A"/>
    <w:rsid w:val="0037269A"/>
    <w:rsid w:val="003756DD"/>
    <w:rsid w:val="00383119"/>
    <w:rsid w:val="00384981"/>
    <w:rsid w:val="003917ED"/>
    <w:rsid w:val="003A1081"/>
    <w:rsid w:val="003A26C0"/>
    <w:rsid w:val="003A584C"/>
    <w:rsid w:val="003B6C40"/>
    <w:rsid w:val="003C2278"/>
    <w:rsid w:val="003C73BE"/>
    <w:rsid w:val="003D0048"/>
    <w:rsid w:val="003D366F"/>
    <w:rsid w:val="003E12DA"/>
    <w:rsid w:val="003E38E5"/>
    <w:rsid w:val="003F301E"/>
    <w:rsid w:val="0041080B"/>
    <w:rsid w:val="00413EBD"/>
    <w:rsid w:val="00417833"/>
    <w:rsid w:val="004242E9"/>
    <w:rsid w:val="00425F70"/>
    <w:rsid w:val="0043158D"/>
    <w:rsid w:val="00434153"/>
    <w:rsid w:val="004409AA"/>
    <w:rsid w:val="0045242F"/>
    <w:rsid w:val="004538FB"/>
    <w:rsid w:val="004567DC"/>
    <w:rsid w:val="00463724"/>
    <w:rsid w:val="004668A0"/>
    <w:rsid w:val="0047011F"/>
    <w:rsid w:val="004740B0"/>
    <w:rsid w:val="00484D31"/>
    <w:rsid w:val="0049738F"/>
    <w:rsid w:val="004A3DD7"/>
    <w:rsid w:val="004B5296"/>
    <w:rsid w:val="004C4128"/>
    <w:rsid w:val="004C6BC3"/>
    <w:rsid w:val="004C6EB7"/>
    <w:rsid w:val="004D1B48"/>
    <w:rsid w:val="004D2285"/>
    <w:rsid w:val="004E1ED0"/>
    <w:rsid w:val="004E5174"/>
    <w:rsid w:val="004E6BEF"/>
    <w:rsid w:val="004E6F3C"/>
    <w:rsid w:val="004F431E"/>
    <w:rsid w:val="005065E4"/>
    <w:rsid w:val="0051124E"/>
    <w:rsid w:val="00514496"/>
    <w:rsid w:val="00517950"/>
    <w:rsid w:val="00520162"/>
    <w:rsid w:val="00531F66"/>
    <w:rsid w:val="00532FCF"/>
    <w:rsid w:val="00535191"/>
    <w:rsid w:val="005426AF"/>
    <w:rsid w:val="0055044F"/>
    <w:rsid w:val="0055137D"/>
    <w:rsid w:val="005647CB"/>
    <w:rsid w:val="0057528D"/>
    <w:rsid w:val="005805A5"/>
    <w:rsid w:val="00586DAF"/>
    <w:rsid w:val="0059024E"/>
    <w:rsid w:val="005930BA"/>
    <w:rsid w:val="005A7A79"/>
    <w:rsid w:val="005D1A75"/>
    <w:rsid w:val="005D6C81"/>
    <w:rsid w:val="005E337E"/>
    <w:rsid w:val="006046BC"/>
    <w:rsid w:val="00611337"/>
    <w:rsid w:val="006126C1"/>
    <w:rsid w:val="006222D2"/>
    <w:rsid w:val="00624E04"/>
    <w:rsid w:val="006252BB"/>
    <w:rsid w:val="00633ACE"/>
    <w:rsid w:val="0063555D"/>
    <w:rsid w:val="006456D1"/>
    <w:rsid w:val="00646BB4"/>
    <w:rsid w:val="00657C53"/>
    <w:rsid w:val="006673FB"/>
    <w:rsid w:val="006677B3"/>
    <w:rsid w:val="00670211"/>
    <w:rsid w:val="00676145"/>
    <w:rsid w:val="006A36CF"/>
    <w:rsid w:val="006B3948"/>
    <w:rsid w:val="006C607F"/>
    <w:rsid w:val="006C727E"/>
    <w:rsid w:val="006D24FD"/>
    <w:rsid w:val="006D2782"/>
    <w:rsid w:val="006E0B7C"/>
    <w:rsid w:val="006F36B2"/>
    <w:rsid w:val="006F6564"/>
    <w:rsid w:val="006F6EE5"/>
    <w:rsid w:val="00702437"/>
    <w:rsid w:val="007049DB"/>
    <w:rsid w:val="00704EB0"/>
    <w:rsid w:val="007101C9"/>
    <w:rsid w:val="007159F4"/>
    <w:rsid w:val="00721637"/>
    <w:rsid w:val="00721B52"/>
    <w:rsid w:val="0072764B"/>
    <w:rsid w:val="007377D8"/>
    <w:rsid w:val="00741FFC"/>
    <w:rsid w:val="007454DC"/>
    <w:rsid w:val="007537CC"/>
    <w:rsid w:val="00754579"/>
    <w:rsid w:val="007604AB"/>
    <w:rsid w:val="007617A0"/>
    <w:rsid w:val="0076351E"/>
    <w:rsid w:val="00770AED"/>
    <w:rsid w:val="0077267C"/>
    <w:rsid w:val="007769F6"/>
    <w:rsid w:val="00776C20"/>
    <w:rsid w:val="00787A9A"/>
    <w:rsid w:val="00790FF9"/>
    <w:rsid w:val="007949CD"/>
    <w:rsid w:val="0079522C"/>
    <w:rsid w:val="00796204"/>
    <w:rsid w:val="007A20BC"/>
    <w:rsid w:val="007A2604"/>
    <w:rsid w:val="007A4E96"/>
    <w:rsid w:val="007A6CFC"/>
    <w:rsid w:val="007C6698"/>
    <w:rsid w:val="007C66A1"/>
    <w:rsid w:val="007D18B9"/>
    <w:rsid w:val="007D3205"/>
    <w:rsid w:val="007D57BB"/>
    <w:rsid w:val="007E01A3"/>
    <w:rsid w:val="007E07C4"/>
    <w:rsid w:val="007E2A9B"/>
    <w:rsid w:val="007E329F"/>
    <w:rsid w:val="007E4696"/>
    <w:rsid w:val="007F0A00"/>
    <w:rsid w:val="007F3CEB"/>
    <w:rsid w:val="007F68F4"/>
    <w:rsid w:val="007F6EE7"/>
    <w:rsid w:val="00801763"/>
    <w:rsid w:val="00803175"/>
    <w:rsid w:val="00803513"/>
    <w:rsid w:val="0081094C"/>
    <w:rsid w:val="00812CA6"/>
    <w:rsid w:val="008178B1"/>
    <w:rsid w:val="00826EE4"/>
    <w:rsid w:val="00827E69"/>
    <w:rsid w:val="008329FC"/>
    <w:rsid w:val="008454A6"/>
    <w:rsid w:val="00847D68"/>
    <w:rsid w:val="008629E2"/>
    <w:rsid w:val="00866484"/>
    <w:rsid w:val="00874902"/>
    <w:rsid w:val="00874D78"/>
    <w:rsid w:val="00876ACB"/>
    <w:rsid w:val="008B3B1C"/>
    <w:rsid w:val="008B4C5F"/>
    <w:rsid w:val="008C0A59"/>
    <w:rsid w:val="008C1E6C"/>
    <w:rsid w:val="008C6F84"/>
    <w:rsid w:val="008D34CC"/>
    <w:rsid w:val="008D3B6A"/>
    <w:rsid w:val="008D7BF2"/>
    <w:rsid w:val="008D7ED6"/>
    <w:rsid w:val="008E42E8"/>
    <w:rsid w:val="008F3D3B"/>
    <w:rsid w:val="008F4FE5"/>
    <w:rsid w:val="008F569A"/>
    <w:rsid w:val="0091356C"/>
    <w:rsid w:val="00913C0D"/>
    <w:rsid w:val="00915849"/>
    <w:rsid w:val="00924AA1"/>
    <w:rsid w:val="009260CF"/>
    <w:rsid w:val="00927597"/>
    <w:rsid w:val="00930CE7"/>
    <w:rsid w:val="009322F6"/>
    <w:rsid w:val="0094132A"/>
    <w:rsid w:val="00942FDB"/>
    <w:rsid w:val="00955D8B"/>
    <w:rsid w:val="00962D4B"/>
    <w:rsid w:val="00963B05"/>
    <w:rsid w:val="00970DB7"/>
    <w:rsid w:val="00972AF2"/>
    <w:rsid w:val="00984440"/>
    <w:rsid w:val="00984812"/>
    <w:rsid w:val="00992412"/>
    <w:rsid w:val="009929E2"/>
    <w:rsid w:val="009961D8"/>
    <w:rsid w:val="0099714D"/>
    <w:rsid w:val="009A1F3D"/>
    <w:rsid w:val="009B08E3"/>
    <w:rsid w:val="009B5D27"/>
    <w:rsid w:val="009B6EAF"/>
    <w:rsid w:val="009D247B"/>
    <w:rsid w:val="009E4F25"/>
    <w:rsid w:val="009E5BCC"/>
    <w:rsid w:val="009E68F2"/>
    <w:rsid w:val="009E712D"/>
    <w:rsid w:val="00A0106E"/>
    <w:rsid w:val="00A019E5"/>
    <w:rsid w:val="00A01A66"/>
    <w:rsid w:val="00A02114"/>
    <w:rsid w:val="00A05831"/>
    <w:rsid w:val="00A06F2B"/>
    <w:rsid w:val="00A12318"/>
    <w:rsid w:val="00A200D2"/>
    <w:rsid w:val="00A20BE3"/>
    <w:rsid w:val="00A21CC2"/>
    <w:rsid w:val="00A25A11"/>
    <w:rsid w:val="00A32C3E"/>
    <w:rsid w:val="00A35F3C"/>
    <w:rsid w:val="00A368D7"/>
    <w:rsid w:val="00A430F8"/>
    <w:rsid w:val="00A43B6A"/>
    <w:rsid w:val="00A44CB2"/>
    <w:rsid w:val="00A44E18"/>
    <w:rsid w:val="00A50D39"/>
    <w:rsid w:val="00A54656"/>
    <w:rsid w:val="00A63DB8"/>
    <w:rsid w:val="00A721A5"/>
    <w:rsid w:val="00A77133"/>
    <w:rsid w:val="00A833FA"/>
    <w:rsid w:val="00A843F2"/>
    <w:rsid w:val="00A87233"/>
    <w:rsid w:val="00A91DB1"/>
    <w:rsid w:val="00A94567"/>
    <w:rsid w:val="00AC624F"/>
    <w:rsid w:val="00AD1B44"/>
    <w:rsid w:val="00AD28B9"/>
    <w:rsid w:val="00AD4B78"/>
    <w:rsid w:val="00AE44F5"/>
    <w:rsid w:val="00AE57EC"/>
    <w:rsid w:val="00AF3298"/>
    <w:rsid w:val="00B03F5B"/>
    <w:rsid w:val="00B05F7B"/>
    <w:rsid w:val="00B1097D"/>
    <w:rsid w:val="00B1222C"/>
    <w:rsid w:val="00B16109"/>
    <w:rsid w:val="00B24DFD"/>
    <w:rsid w:val="00B31197"/>
    <w:rsid w:val="00B31A12"/>
    <w:rsid w:val="00B31F28"/>
    <w:rsid w:val="00B33B75"/>
    <w:rsid w:val="00B45616"/>
    <w:rsid w:val="00B513D1"/>
    <w:rsid w:val="00B52CD5"/>
    <w:rsid w:val="00B6523C"/>
    <w:rsid w:val="00B679AE"/>
    <w:rsid w:val="00B71A4A"/>
    <w:rsid w:val="00B77F99"/>
    <w:rsid w:val="00B84841"/>
    <w:rsid w:val="00B84CC4"/>
    <w:rsid w:val="00B86930"/>
    <w:rsid w:val="00B86A44"/>
    <w:rsid w:val="00B90042"/>
    <w:rsid w:val="00B93583"/>
    <w:rsid w:val="00B95DFB"/>
    <w:rsid w:val="00B972A2"/>
    <w:rsid w:val="00BA03F4"/>
    <w:rsid w:val="00BB1D6D"/>
    <w:rsid w:val="00BB27C2"/>
    <w:rsid w:val="00BB2E57"/>
    <w:rsid w:val="00BB5DD8"/>
    <w:rsid w:val="00BC2F44"/>
    <w:rsid w:val="00BC547E"/>
    <w:rsid w:val="00BC7A07"/>
    <w:rsid w:val="00BD084F"/>
    <w:rsid w:val="00BD08B6"/>
    <w:rsid w:val="00BD6ABE"/>
    <w:rsid w:val="00BE0A73"/>
    <w:rsid w:val="00BE0D3B"/>
    <w:rsid w:val="00BE5A86"/>
    <w:rsid w:val="00C074CA"/>
    <w:rsid w:val="00C07B9B"/>
    <w:rsid w:val="00C10B1E"/>
    <w:rsid w:val="00C1235F"/>
    <w:rsid w:val="00C14331"/>
    <w:rsid w:val="00C14F24"/>
    <w:rsid w:val="00C15971"/>
    <w:rsid w:val="00C23B2B"/>
    <w:rsid w:val="00C26779"/>
    <w:rsid w:val="00C41308"/>
    <w:rsid w:val="00C45CBA"/>
    <w:rsid w:val="00C51CD9"/>
    <w:rsid w:val="00C54DAF"/>
    <w:rsid w:val="00C62964"/>
    <w:rsid w:val="00C77977"/>
    <w:rsid w:val="00C849EA"/>
    <w:rsid w:val="00C84A57"/>
    <w:rsid w:val="00C90D7B"/>
    <w:rsid w:val="00C92680"/>
    <w:rsid w:val="00C92AD3"/>
    <w:rsid w:val="00CA4C8D"/>
    <w:rsid w:val="00CA70D5"/>
    <w:rsid w:val="00CB020D"/>
    <w:rsid w:val="00CB149B"/>
    <w:rsid w:val="00CB15EA"/>
    <w:rsid w:val="00CB6AAA"/>
    <w:rsid w:val="00CB6E89"/>
    <w:rsid w:val="00CC1BD4"/>
    <w:rsid w:val="00CC6694"/>
    <w:rsid w:val="00CC66C0"/>
    <w:rsid w:val="00CD45FD"/>
    <w:rsid w:val="00CE1244"/>
    <w:rsid w:val="00CE5EE9"/>
    <w:rsid w:val="00CF1167"/>
    <w:rsid w:val="00CF1761"/>
    <w:rsid w:val="00CF5C9E"/>
    <w:rsid w:val="00CF6437"/>
    <w:rsid w:val="00D00E46"/>
    <w:rsid w:val="00D01F7E"/>
    <w:rsid w:val="00D05355"/>
    <w:rsid w:val="00D0630D"/>
    <w:rsid w:val="00D20DAA"/>
    <w:rsid w:val="00D266DE"/>
    <w:rsid w:val="00D31177"/>
    <w:rsid w:val="00D33334"/>
    <w:rsid w:val="00D3388C"/>
    <w:rsid w:val="00D428AB"/>
    <w:rsid w:val="00D43E9F"/>
    <w:rsid w:val="00D4654B"/>
    <w:rsid w:val="00D51A2C"/>
    <w:rsid w:val="00D52700"/>
    <w:rsid w:val="00D57A29"/>
    <w:rsid w:val="00D6264A"/>
    <w:rsid w:val="00D64061"/>
    <w:rsid w:val="00D659AE"/>
    <w:rsid w:val="00D84BE9"/>
    <w:rsid w:val="00D9413B"/>
    <w:rsid w:val="00DA035C"/>
    <w:rsid w:val="00DA13F0"/>
    <w:rsid w:val="00DA7B2E"/>
    <w:rsid w:val="00DB4509"/>
    <w:rsid w:val="00DB4AB7"/>
    <w:rsid w:val="00DC3131"/>
    <w:rsid w:val="00DD1AB6"/>
    <w:rsid w:val="00DD2F00"/>
    <w:rsid w:val="00DD437E"/>
    <w:rsid w:val="00DD6AF7"/>
    <w:rsid w:val="00DE0BEA"/>
    <w:rsid w:val="00DE6925"/>
    <w:rsid w:val="00DF02DB"/>
    <w:rsid w:val="00DF1A18"/>
    <w:rsid w:val="00DF1BB1"/>
    <w:rsid w:val="00DF619F"/>
    <w:rsid w:val="00DF65DD"/>
    <w:rsid w:val="00DF795F"/>
    <w:rsid w:val="00E02E04"/>
    <w:rsid w:val="00E0447A"/>
    <w:rsid w:val="00E14C23"/>
    <w:rsid w:val="00E16DB2"/>
    <w:rsid w:val="00E20B82"/>
    <w:rsid w:val="00E252BC"/>
    <w:rsid w:val="00E30030"/>
    <w:rsid w:val="00E30B21"/>
    <w:rsid w:val="00E312B0"/>
    <w:rsid w:val="00E3455B"/>
    <w:rsid w:val="00E35894"/>
    <w:rsid w:val="00E5048E"/>
    <w:rsid w:val="00E53D1B"/>
    <w:rsid w:val="00E60B72"/>
    <w:rsid w:val="00E66565"/>
    <w:rsid w:val="00E67CE5"/>
    <w:rsid w:val="00E722D7"/>
    <w:rsid w:val="00E824CF"/>
    <w:rsid w:val="00E8565D"/>
    <w:rsid w:val="00EA1A62"/>
    <w:rsid w:val="00EA379F"/>
    <w:rsid w:val="00EA6C8B"/>
    <w:rsid w:val="00EA77E1"/>
    <w:rsid w:val="00EB4AFC"/>
    <w:rsid w:val="00EB4B5F"/>
    <w:rsid w:val="00EB4EA6"/>
    <w:rsid w:val="00EC2FBB"/>
    <w:rsid w:val="00EC3D18"/>
    <w:rsid w:val="00ED1CB8"/>
    <w:rsid w:val="00EE19B6"/>
    <w:rsid w:val="00EE3A2E"/>
    <w:rsid w:val="00EF146F"/>
    <w:rsid w:val="00F141D3"/>
    <w:rsid w:val="00F1780A"/>
    <w:rsid w:val="00F20315"/>
    <w:rsid w:val="00F205EE"/>
    <w:rsid w:val="00F260D7"/>
    <w:rsid w:val="00F3271C"/>
    <w:rsid w:val="00F33BA5"/>
    <w:rsid w:val="00F3634B"/>
    <w:rsid w:val="00F36B80"/>
    <w:rsid w:val="00F45BE0"/>
    <w:rsid w:val="00F474A1"/>
    <w:rsid w:val="00F57B57"/>
    <w:rsid w:val="00F67D7A"/>
    <w:rsid w:val="00F71EDA"/>
    <w:rsid w:val="00F72B13"/>
    <w:rsid w:val="00F74933"/>
    <w:rsid w:val="00F917B3"/>
    <w:rsid w:val="00F95929"/>
    <w:rsid w:val="00FA39E5"/>
    <w:rsid w:val="00FA61D9"/>
    <w:rsid w:val="00FB0C86"/>
    <w:rsid w:val="00FB1F3E"/>
    <w:rsid w:val="00FB4D5F"/>
    <w:rsid w:val="00FC069F"/>
    <w:rsid w:val="00FC49F4"/>
    <w:rsid w:val="00FC5565"/>
    <w:rsid w:val="00FD20CB"/>
    <w:rsid w:val="00FD5BD7"/>
    <w:rsid w:val="00FD7B44"/>
    <w:rsid w:val="00FE442D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AAE183"/>
  <w15:docId w15:val="{05EA3956-C79B-460B-812E-D9FFF553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603"/>
    <w:pPr>
      <w:autoSpaceDE w:val="0"/>
      <w:autoSpaceDN w:val="0"/>
      <w:adjustRightInd w:val="0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">
    <w:name w:val="_17"/>
    <w:uiPriority w:val="99"/>
    <w:rsid w:val="001116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Level1">
    <w:name w:val="Level 1"/>
    <w:uiPriority w:val="99"/>
    <w:rsid w:val="0011160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603"/>
    <w:rPr>
      <w:rFonts w:ascii="Tahoma" w:hAnsi="Tahoma" w:cs="Tahoma"/>
      <w:sz w:val="16"/>
      <w:szCs w:val="16"/>
    </w:rPr>
  </w:style>
  <w:style w:type="character" w:customStyle="1" w:styleId="SYSHYPERTEXT">
    <w:name w:val="SYS_HYPERTEXT"/>
    <w:uiPriority w:val="99"/>
    <w:rsid w:val="001116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60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1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150ED-A304-41E6-ADCD-9034E7AF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Holly Ryan</cp:lastModifiedBy>
  <cp:revision>4</cp:revision>
  <cp:lastPrinted>2024-04-29T18:17:00Z</cp:lastPrinted>
  <dcterms:created xsi:type="dcterms:W3CDTF">2025-04-23T18:05:00Z</dcterms:created>
  <dcterms:modified xsi:type="dcterms:W3CDTF">2025-04-23T18:07:00Z</dcterms:modified>
</cp:coreProperties>
</file>